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76E2" w:rsidRDefault="005E4134">
      <w:pPr>
        <w:spacing w:line="500" w:lineRule="exact"/>
        <w:ind w:firstLineChars="100" w:firstLine="320"/>
        <w:rPr>
          <w:rFonts w:ascii="黑体" w:eastAsia="黑体" w:hAnsi="黑体"/>
          <w:sz w:val="32"/>
          <w:szCs w:val="28"/>
        </w:rPr>
      </w:pPr>
      <w:r>
        <w:rPr>
          <w:rFonts w:ascii="黑体" w:eastAsia="黑体" w:hAnsi="黑体" w:hint="eastAsia"/>
          <w:sz w:val="32"/>
          <w:szCs w:val="28"/>
        </w:rPr>
        <w:t xml:space="preserve">《包装容器 </w:t>
      </w:r>
      <w:r w:rsidR="00246D06">
        <w:rPr>
          <w:rFonts w:ascii="黑体" w:eastAsia="黑体" w:hAnsi="黑体" w:hint="eastAsia"/>
          <w:sz w:val="32"/>
          <w:szCs w:val="28"/>
        </w:rPr>
        <w:t>钢质手提</w:t>
      </w:r>
      <w:r>
        <w:rPr>
          <w:rFonts w:ascii="黑体" w:eastAsia="黑体" w:hAnsi="黑体" w:hint="eastAsia"/>
          <w:sz w:val="32"/>
          <w:szCs w:val="28"/>
        </w:rPr>
        <w:t>罐》“浙江制造”标准编制说明</w:t>
      </w:r>
    </w:p>
    <w:p w:rsidR="002876E2" w:rsidRDefault="005E4134">
      <w:pPr>
        <w:pStyle w:val="a1"/>
        <w:numPr>
          <w:ilvl w:val="0"/>
          <w:numId w:val="0"/>
        </w:numPr>
        <w:spacing w:before="312" w:after="312"/>
        <w:jc w:val="left"/>
        <w:rPr>
          <w:rFonts w:hAnsi="黑体"/>
          <w:sz w:val="24"/>
          <w:szCs w:val="24"/>
        </w:rPr>
      </w:pPr>
      <w:r>
        <w:rPr>
          <w:rFonts w:hAnsi="黑体" w:hint="eastAsia"/>
          <w:sz w:val="24"/>
          <w:szCs w:val="24"/>
        </w:rPr>
        <w:t>1 项目背景</w:t>
      </w:r>
    </w:p>
    <w:p w:rsidR="002876E2" w:rsidRDefault="00246D06">
      <w:pPr>
        <w:spacing w:line="560" w:lineRule="exact"/>
        <w:ind w:firstLineChars="200" w:firstLine="480"/>
        <w:jc w:val="left"/>
        <w:rPr>
          <w:rFonts w:ascii="宋体" w:hAnsi="宋体" w:cs="Arial"/>
          <w:sz w:val="24"/>
          <w:shd w:val="clear" w:color="auto" w:fill="FFFFFF"/>
        </w:rPr>
      </w:pPr>
      <w:r>
        <w:rPr>
          <w:rFonts w:ascii="宋体" w:hAnsi="宋体" w:cs="Arial" w:hint="eastAsia"/>
          <w:sz w:val="24"/>
          <w:shd w:val="clear" w:color="auto" w:fill="FFFFFF"/>
        </w:rPr>
        <w:t>钢质手提</w:t>
      </w:r>
      <w:r w:rsidR="005E4134">
        <w:rPr>
          <w:rFonts w:ascii="宋体" w:hAnsi="宋体" w:cs="Arial" w:hint="eastAsia"/>
          <w:sz w:val="24"/>
          <w:shd w:val="clear" w:color="auto" w:fill="FFFFFF"/>
        </w:rPr>
        <w:t>罐俗称便携式备用油箱(以下简称油箱)，主要用于盛放汽油、柴油等石油制品，容量一般不超过35L，携带方便。油箱，作为盛油的容器，早在二战期间就被人熟知，在德国、美国等欧洲国家使用广泛，早期主要用于军事需求，现在随着人民生活水平提高，民用需求也逐步提高，如用于农机、林业、工业；物资储备（如日本，因其特殊地理位置，多</w:t>
      </w:r>
      <w:proofErr w:type="gramStart"/>
      <w:r w:rsidR="005E4134">
        <w:rPr>
          <w:rFonts w:ascii="宋体" w:hAnsi="宋体" w:cs="Arial" w:hint="eastAsia"/>
          <w:sz w:val="24"/>
          <w:shd w:val="clear" w:color="auto" w:fill="FFFFFF"/>
        </w:rPr>
        <w:t>地震再</w:t>
      </w:r>
      <w:proofErr w:type="gramEnd"/>
      <w:r w:rsidR="005E4134">
        <w:rPr>
          <w:rFonts w:ascii="宋体" w:hAnsi="宋体" w:cs="Arial" w:hint="eastAsia"/>
          <w:sz w:val="24"/>
          <w:shd w:val="clear" w:color="auto" w:fill="FFFFFF"/>
        </w:rPr>
        <w:t>加上资源匮乏，储存煤油，用于取暖或照明）等，基本上每家</w:t>
      </w:r>
      <w:proofErr w:type="gramStart"/>
      <w:r w:rsidR="005E4134">
        <w:rPr>
          <w:rFonts w:ascii="宋体" w:hAnsi="宋体" w:cs="Arial" w:hint="eastAsia"/>
          <w:sz w:val="24"/>
          <w:shd w:val="clear" w:color="auto" w:fill="FFFFFF"/>
        </w:rPr>
        <w:t>都会都会</w:t>
      </w:r>
      <w:proofErr w:type="gramEnd"/>
      <w:r w:rsidR="005E4134">
        <w:rPr>
          <w:rFonts w:ascii="宋体" w:hAnsi="宋体" w:cs="Arial" w:hint="eastAsia"/>
          <w:sz w:val="24"/>
          <w:shd w:val="clear" w:color="auto" w:fill="FFFFFF"/>
        </w:rPr>
        <w:t>配备1、2个，以备不时之需，故国际市场上近3年平均增长率超过15%。</w:t>
      </w:r>
    </w:p>
    <w:p w:rsidR="002876E2" w:rsidRDefault="005E4134">
      <w:pPr>
        <w:spacing w:line="560" w:lineRule="exact"/>
        <w:ind w:firstLineChars="200" w:firstLine="480"/>
        <w:jc w:val="left"/>
        <w:rPr>
          <w:rFonts w:ascii="宋体" w:hAnsi="宋体" w:cs="Arial"/>
          <w:sz w:val="24"/>
          <w:shd w:val="clear" w:color="auto" w:fill="FFFFFF"/>
        </w:rPr>
      </w:pPr>
      <w:r>
        <w:rPr>
          <w:rFonts w:ascii="宋体" w:hAnsi="宋体" w:cs="Arial" w:hint="eastAsia"/>
          <w:sz w:val="24"/>
          <w:shd w:val="clear" w:color="auto" w:fill="FFFFFF"/>
        </w:rPr>
        <w:t>我国的油箱行业相对与国外来说发展较晚。但近几年来由于下游市场需求的进一步扩大，如物流行业、游艇、远途</w:t>
      </w:r>
      <w:proofErr w:type="gramStart"/>
      <w:r>
        <w:rPr>
          <w:rFonts w:ascii="宋体" w:hAnsi="宋体" w:cs="Arial" w:hint="eastAsia"/>
          <w:sz w:val="24"/>
          <w:shd w:val="clear" w:color="auto" w:fill="FFFFFF"/>
        </w:rPr>
        <w:t>自驾游等</w:t>
      </w:r>
      <w:proofErr w:type="gramEnd"/>
      <w:r>
        <w:rPr>
          <w:rFonts w:ascii="宋体" w:hAnsi="宋体" w:cs="Arial" w:hint="eastAsia"/>
          <w:sz w:val="24"/>
          <w:shd w:val="clear" w:color="auto" w:fill="FFFFFF"/>
        </w:rPr>
        <w:t>，油箱的需求量不断增大，据统计，近三年平均增长率超过13%，发展前景良好。</w:t>
      </w:r>
    </w:p>
    <w:p w:rsidR="002876E2" w:rsidRDefault="005E4134">
      <w:pPr>
        <w:spacing w:line="560" w:lineRule="exact"/>
        <w:ind w:firstLineChars="200" w:firstLine="480"/>
        <w:jc w:val="left"/>
        <w:rPr>
          <w:rFonts w:ascii="宋体" w:hAnsi="宋体" w:cs="Arial"/>
          <w:sz w:val="24"/>
          <w:shd w:val="clear" w:color="auto" w:fill="FFFFFF"/>
        </w:rPr>
      </w:pPr>
      <w:r>
        <w:rPr>
          <w:rFonts w:ascii="宋体" w:hAnsi="宋体" w:cs="Arial" w:hint="eastAsia"/>
          <w:sz w:val="24"/>
          <w:shd w:val="clear" w:color="auto" w:fill="FFFFFF"/>
        </w:rPr>
        <w:t>目前，国内针对此产品有2013年发布实施的《包装容器  钢质手提罐》行业标准，该标准于2016年9月被国家质量监督检验检疫总局作为《危险化学品包装物、容器产品》生产许可证的取证标准，该标准仅作为本行业的一个准入标准，虽规范了整个行业，使其纳入统一标准管控范围之内，但并不能作为一项标杆标准，特别是随着“中国制造2025”的推进，制造企业越来越重视自身技术的提升和产品的综合品质，安全、</w:t>
      </w:r>
      <w:proofErr w:type="gramStart"/>
      <w:r>
        <w:rPr>
          <w:rFonts w:ascii="宋体" w:hAnsi="宋体" w:cs="Arial" w:hint="eastAsia"/>
          <w:sz w:val="24"/>
          <w:shd w:val="clear" w:color="auto" w:fill="FFFFFF"/>
        </w:rPr>
        <w:t>环保正</w:t>
      </w:r>
      <w:proofErr w:type="gramEnd"/>
      <w:r>
        <w:rPr>
          <w:rFonts w:ascii="宋体" w:hAnsi="宋体" w:cs="Arial" w:hint="eastAsia"/>
          <w:sz w:val="24"/>
          <w:shd w:val="clear" w:color="auto" w:fill="FFFFFF"/>
        </w:rPr>
        <w:t>逐步成为制造企业为适应用户越来越严格的要求而必须努力实现的目标。油箱经过近几年在产品结构、材质、技术、工艺、性能等方面的不断改进，使得产品在堆叠方面、安全性能方面、气密性能方面得到了较大的提升。人们对油箱的认识也从“能用”转变为“好用”，对其安全性、使用便利性方面的需求越来越重视。</w:t>
      </w:r>
    </w:p>
    <w:p w:rsidR="002876E2" w:rsidRDefault="005E4134">
      <w:pPr>
        <w:spacing w:line="560" w:lineRule="exact"/>
        <w:ind w:firstLineChars="200" w:firstLine="480"/>
        <w:jc w:val="left"/>
        <w:rPr>
          <w:rFonts w:ascii="宋体" w:hAnsi="宋体" w:cs="Arial"/>
          <w:sz w:val="24"/>
          <w:shd w:val="clear" w:color="auto" w:fill="FFFFFF"/>
        </w:rPr>
      </w:pPr>
      <w:r>
        <w:rPr>
          <w:rFonts w:ascii="宋体" w:hAnsi="宋体" w:cs="Arial" w:hint="eastAsia"/>
          <w:sz w:val="24"/>
          <w:shd w:val="clear" w:color="auto" w:fill="FFFFFF"/>
        </w:rPr>
        <w:t>本公司一直致力于油箱产品的研发、生产与销售。公司生产的便携式油箱系列产品是目前国内首家通过联合国UN安全质量认证的产品。国际市场排名靠前，国际市场占有率8%左右；在国内高端市场占有率排名第一。公司以行业发展为</w:t>
      </w:r>
      <w:r>
        <w:rPr>
          <w:rFonts w:ascii="宋体" w:hAnsi="宋体" w:cs="Arial" w:hint="eastAsia"/>
          <w:sz w:val="24"/>
          <w:shd w:val="clear" w:color="auto" w:fill="FFFFFF"/>
        </w:rPr>
        <w:lastRenderedPageBreak/>
        <w:t>己任，一直关注此类产品的国内外动态市场和动态信息，2013年公司根据自身产品特性和行业发展需要，牵头起草行业标准《包装容器 钢质手提罐》，并于2013年9月发布实施。近些年，公司在与国内、外客户的接触中，进一步清晰的认识到目前行业标准中部分指标的要求已难以满足行业发展和客户（特别是高端客户）的需求，如倒油过程的便利性与舒适性规定缺失（要有配套的倒油管、调节内外气压的装置等）、安全性能指标的不足等。</w:t>
      </w:r>
    </w:p>
    <w:p w:rsidR="002876E2" w:rsidRDefault="005E4134">
      <w:pPr>
        <w:spacing w:line="560" w:lineRule="exact"/>
        <w:ind w:firstLineChars="200" w:firstLine="480"/>
        <w:rPr>
          <w:rFonts w:ascii="宋体" w:hAnsi="宋体" w:cs="Arial"/>
          <w:sz w:val="24"/>
          <w:shd w:val="clear" w:color="auto" w:fill="FFFFFF"/>
        </w:rPr>
      </w:pPr>
      <w:r>
        <w:rPr>
          <w:rFonts w:ascii="宋体" w:hAnsi="宋体" w:cs="Arial" w:hint="eastAsia"/>
          <w:sz w:val="24"/>
          <w:shd w:val="clear" w:color="auto" w:fill="FFFFFF"/>
        </w:rPr>
        <w:t>为带动产业链高质量协同发展，迫切需要能代表高端产品质量的油箱标准。本标准制定过程中，以行业标准为基础，以产品使用过程安全性为重点，关注以下四个问题：1.安全性：防止渗漏、检验罐口是否能导电；2.客户的需求：产品结构的优化；3.用户的关注点，即经久耐用和使用便利；4.国内外标准的变化。 因此本标准在提升了产品关键的一些性能指标外新增了手柄强度要求及试验方法，全面提升了产品安全性和可靠性，体现出国内一流、国际先进的水平。</w:t>
      </w:r>
    </w:p>
    <w:p w:rsidR="002876E2" w:rsidRDefault="005E4134">
      <w:pPr>
        <w:pStyle w:val="a1"/>
        <w:numPr>
          <w:ilvl w:val="0"/>
          <w:numId w:val="0"/>
        </w:numPr>
        <w:spacing w:before="312" w:after="312"/>
        <w:jc w:val="left"/>
        <w:rPr>
          <w:rFonts w:hAnsi="黑体"/>
          <w:sz w:val="24"/>
          <w:szCs w:val="24"/>
        </w:rPr>
      </w:pPr>
      <w:r>
        <w:rPr>
          <w:rFonts w:hAnsi="黑体" w:hint="eastAsia"/>
          <w:sz w:val="24"/>
          <w:szCs w:val="24"/>
        </w:rPr>
        <w:t>2  项目来源</w:t>
      </w:r>
    </w:p>
    <w:p w:rsidR="002876E2" w:rsidRDefault="005E4134">
      <w:pPr>
        <w:spacing w:line="360" w:lineRule="auto"/>
        <w:ind w:firstLineChars="200" w:firstLine="480"/>
        <w:rPr>
          <w:rFonts w:ascii="宋体" w:hAnsi="宋体" w:cs="宋体"/>
          <w:sz w:val="24"/>
        </w:rPr>
      </w:pPr>
      <w:r>
        <w:rPr>
          <w:rFonts w:ascii="宋体" w:hAnsi="宋体" w:cs="宋体" w:hint="eastAsia"/>
          <w:sz w:val="24"/>
        </w:rPr>
        <w:t>由</w:t>
      </w:r>
      <w:proofErr w:type="gramStart"/>
      <w:r>
        <w:rPr>
          <w:rFonts w:ascii="宋体" w:hAnsi="宋体" w:cs="宋体" w:hint="eastAsia"/>
          <w:sz w:val="24"/>
        </w:rPr>
        <w:t>杭州鼎升机械</w:t>
      </w:r>
      <w:proofErr w:type="gramEnd"/>
      <w:r>
        <w:rPr>
          <w:rFonts w:ascii="宋体" w:hAnsi="宋体" w:cs="宋体" w:hint="eastAsia"/>
          <w:sz w:val="24"/>
        </w:rPr>
        <w:t>有限公司向浙江省品牌建设联合会提出立项申请，经</w:t>
      </w:r>
      <w:proofErr w:type="gramStart"/>
      <w:r>
        <w:rPr>
          <w:rFonts w:ascii="宋体" w:hAnsi="宋体" w:cs="宋体" w:hint="eastAsia"/>
          <w:sz w:val="24"/>
        </w:rPr>
        <w:t>省品牌联</w:t>
      </w:r>
      <w:proofErr w:type="gramEnd"/>
      <w:r>
        <w:rPr>
          <w:rFonts w:ascii="宋体" w:hAnsi="宋体" w:cs="宋体" w:hint="eastAsia"/>
          <w:sz w:val="24"/>
        </w:rPr>
        <w:t>论证通过并印发了</w:t>
      </w:r>
      <w:proofErr w:type="gramStart"/>
      <w:r>
        <w:rPr>
          <w:rFonts w:ascii="宋体" w:hAnsi="宋体" w:cs="宋体" w:hint="eastAsia"/>
          <w:sz w:val="24"/>
        </w:rPr>
        <w:t>“</w:t>
      </w:r>
      <w:proofErr w:type="gramEnd"/>
      <w:r>
        <w:rPr>
          <w:rFonts w:ascii="宋体" w:hAnsi="宋体" w:cs="宋体" w:hint="eastAsia"/>
          <w:sz w:val="24"/>
        </w:rPr>
        <w:t>浙品联〔2019〕2号 关于发布2019年第一批“浙江制造”标准制定计划的通知</w:t>
      </w:r>
      <w:proofErr w:type="gramStart"/>
      <w:r>
        <w:rPr>
          <w:rFonts w:ascii="宋体" w:hAnsi="宋体" w:cs="宋体" w:hint="eastAsia"/>
          <w:sz w:val="24"/>
        </w:rPr>
        <w:t>”</w:t>
      </w:r>
      <w:proofErr w:type="gramEnd"/>
      <w:r>
        <w:rPr>
          <w:rFonts w:ascii="宋体" w:hAnsi="宋体" w:cs="宋体" w:hint="eastAsia"/>
          <w:sz w:val="24"/>
        </w:rPr>
        <w:t>，项目名称：《包装容器  钢质手提油罐》。</w:t>
      </w:r>
    </w:p>
    <w:p w:rsidR="002876E2" w:rsidRDefault="005E4134">
      <w:pPr>
        <w:pStyle w:val="a1"/>
        <w:numPr>
          <w:ilvl w:val="0"/>
          <w:numId w:val="0"/>
        </w:numPr>
        <w:spacing w:before="312" w:after="312"/>
        <w:jc w:val="left"/>
        <w:rPr>
          <w:rFonts w:hAnsi="黑体"/>
          <w:sz w:val="24"/>
          <w:szCs w:val="24"/>
        </w:rPr>
      </w:pPr>
      <w:r>
        <w:rPr>
          <w:rFonts w:hAnsi="黑体" w:hint="eastAsia"/>
          <w:sz w:val="24"/>
          <w:szCs w:val="24"/>
        </w:rPr>
        <w:t>3   标准制定工作概况</w:t>
      </w:r>
    </w:p>
    <w:p w:rsidR="002876E2" w:rsidRDefault="005E4134">
      <w:pPr>
        <w:pStyle w:val="a1"/>
        <w:numPr>
          <w:ilvl w:val="0"/>
          <w:numId w:val="0"/>
        </w:numPr>
        <w:spacing w:before="312" w:after="312"/>
        <w:jc w:val="left"/>
        <w:rPr>
          <w:rFonts w:hAnsi="黑体"/>
          <w:sz w:val="24"/>
          <w:szCs w:val="24"/>
        </w:rPr>
      </w:pPr>
      <w:r>
        <w:rPr>
          <w:rFonts w:hAnsi="黑体" w:hint="eastAsia"/>
          <w:sz w:val="24"/>
          <w:szCs w:val="24"/>
        </w:rPr>
        <w:t>3.1  标准制定相关单位及人员</w:t>
      </w:r>
    </w:p>
    <w:p w:rsidR="002876E2" w:rsidRDefault="005E4134">
      <w:pPr>
        <w:tabs>
          <w:tab w:val="left" w:pos="2160"/>
        </w:tabs>
        <w:spacing w:line="500" w:lineRule="exact"/>
        <w:rPr>
          <w:rFonts w:ascii="宋体" w:hAnsi="宋体" w:cs="宋体"/>
          <w:sz w:val="24"/>
        </w:rPr>
      </w:pPr>
      <w:r>
        <w:rPr>
          <w:rFonts w:ascii="宋体" w:hAnsi="宋体" w:cs="宋体" w:hint="eastAsia"/>
          <w:sz w:val="24"/>
        </w:rPr>
        <w:t>3.1.1  本标准主要起草单位：</w:t>
      </w:r>
      <w:proofErr w:type="gramStart"/>
      <w:r>
        <w:rPr>
          <w:rFonts w:ascii="宋体" w:hAnsi="宋体" w:cs="宋体" w:hint="eastAsia"/>
          <w:sz w:val="24"/>
        </w:rPr>
        <w:t>杭州鼎升机械</w:t>
      </w:r>
      <w:proofErr w:type="gramEnd"/>
      <w:r>
        <w:rPr>
          <w:rFonts w:ascii="宋体" w:hAnsi="宋体" w:cs="宋体" w:hint="eastAsia"/>
          <w:sz w:val="24"/>
        </w:rPr>
        <w:t>有限公司</w:t>
      </w:r>
    </w:p>
    <w:p w:rsidR="002876E2" w:rsidRDefault="005E4134">
      <w:pPr>
        <w:tabs>
          <w:tab w:val="left" w:pos="2160"/>
        </w:tabs>
        <w:spacing w:line="500" w:lineRule="exact"/>
        <w:rPr>
          <w:rFonts w:ascii="宋体" w:hAnsi="宋体" w:cs="宋体"/>
          <w:sz w:val="24"/>
        </w:rPr>
      </w:pPr>
      <w:r>
        <w:rPr>
          <w:rFonts w:ascii="宋体" w:hAnsi="宋体" w:cs="宋体" w:hint="eastAsia"/>
          <w:sz w:val="24"/>
        </w:rPr>
        <w:t>3.1.2  本标准参与起草单位：*****、*******</w:t>
      </w:r>
    </w:p>
    <w:p w:rsidR="002876E2" w:rsidRDefault="005E4134">
      <w:pPr>
        <w:tabs>
          <w:tab w:val="left" w:pos="2160"/>
        </w:tabs>
        <w:spacing w:line="500" w:lineRule="exact"/>
        <w:rPr>
          <w:rFonts w:ascii="宋体" w:hAnsi="宋体" w:cs="宋体"/>
          <w:sz w:val="24"/>
        </w:rPr>
      </w:pPr>
      <w:r>
        <w:rPr>
          <w:rFonts w:ascii="宋体" w:hAnsi="宋体" w:cs="宋体" w:hint="eastAsia"/>
          <w:sz w:val="24"/>
        </w:rPr>
        <w:t>3.1.3  本标准起草人为：***、***、***</w:t>
      </w:r>
    </w:p>
    <w:p w:rsidR="002876E2" w:rsidRDefault="005E4134">
      <w:pPr>
        <w:pStyle w:val="a1"/>
        <w:numPr>
          <w:ilvl w:val="0"/>
          <w:numId w:val="0"/>
        </w:numPr>
        <w:spacing w:before="312" w:after="312"/>
        <w:jc w:val="left"/>
        <w:rPr>
          <w:rFonts w:hAnsi="黑体"/>
          <w:sz w:val="24"/>
          <w:szCs w:val="24"/>
        </w:rPr>
      </w:pPr>
      <w:r>
        <w:rPr>
          <w:rFonts w:hAnsi="黑体" w:hint="eastAsia"/>
          <w:sz w:val="24"/>
          <w:szCs w:val="24"/>
        </w:rPr>
        <w:t>3.2  主要工作过程</w:t>
      </w:r>
    </w:p>
    <w:p w:rsidR="002876E2" w:rsidRDefault="005E4134">
      <w:pPr>
        <w:spacing w:line="500" w:lineRule="exact"/>
        <w:rPr>
          <w:rFonts w:ascii="仿宋_GB2312" w:eastAsia="仿宋_GB2312" w:hAnsi="宋体"/>
          <w:sz w:val="24"/>
        </w:rPr>
      </w:pPr>
      <w:r>
        <w:rPr>
          <w:rFonts w:ascii="黑体" w:eastAsia="黑体" w:hAnsi="黑体" w:hint="eastAsia"/>
          <w:sz w:val="24"/>
        </w:rPr>
        <w:t>3.2.1</w:t>
      </w:r>
      <w:r>
        <w:rPr>
          <w:rFonts w:ascii="仿宋_GB2312" w:eastAsia="仿宋_GB2312" w:hAnsi="宋体" w:hint="eastAsia"/>
          <w:sz w:val="24"/>
        </w:rPr>
        <w:t xml:space="preserve">  </w:t>
      </w:r>
      <w:r>
        <w:rPr>
          <w:rFonts w:ascii="黑体" w:eastAsia="黑体" w:hAnsi="宋体" w:hint="eastAsia"/>
          <w:sz w:val="24"/>
        </w:rPr>
        <w:t>研制前期准备工作</w:t>
      </w:r>
    </w:p>
    <w:p w:rsidR="002876E2" w:rsidRDefault="005E4134" w:rsidP="00246D06">
      <w:pPr>
        <w:numPr>
          <w:ilvl w:val="0"/>
          <w:numId w:val="5"/>
        </w:numPr>
        <w:adjustRightInd w:val="0"/>
        <w:snapToGrid w:val="0"/>
        <w:spacing w:beforeLines="50" w:line="360" w:lineRule="auto"/>
        <w:ind w:left="0" w:firstLine="0"/>
        <w:rPr>
          <w:rFonts w:ascii="宋体" w:hAnsi="宋体" w:cs="宋体"/>
          <w:sz w:val="24"/>
        </w:rPr>
      </w:pPr>
      <w:r>
        <w:rPr>
          <w:rFonts w:ascii="宋体" w:hAnsi="宋体" w:cs="宋体" w:hint="eastAsia"/>
          <w:sz w:val="24"/>
        </w:rPr>
        <w:t>成立标准工作组</w:t>
      </w:r>
    </w:p>
    <w:p w:rsidR="002876E2" w:rsidRDefault="005E4134">
      <w:pPr>
        <w:spacing w:line="500" w:lineRule="exact"/>
        <w:ind w:firstLineChars="200" w:firstLine="480"/>
        <w:rPr>
          <w:rFonts w:ascii="宋体" w:hAnsi="宋体" w:cs="宋体"/>
          <w:sz w:val="24"/>
        </w:rPr>
      </w:pPr>
      <w:r>
        <w:rPr>
          <w:rFonts w:ascii="宋体" w:hAnsi="宋体" w:cs="宋体" w:hint="eastAsia"/>
          <w:sz w:val="24"/>
        </w:rPr>
        <w:lastRenderedPageBreak/>
        <w:t>按照“浙江制造”标准工作要求，</w:t>
      </w:r>
      <w:proofErr w:type="gramStart"/>
      <w:r>
        <w:rPr>
          <w:rFonts w:ascii="宋体" w:hAnsi="宋体" w:cs="宋体" w:hint="eastAsia"/>
          <w:sz w:val="24"/>
        </w:rPr>
        <w:t>杭州鼎升机械</w:t>
      </w:r>
      <w:proofErr w:type="gramEnd"/>
      <w:r>
        <w:rPr>
          <w:rFonts w:ascii="宋体" w:hAnsi="宋体" w:cs="宋体" w:hint="eastAsia"/>
          <w:sz w:val="24"/>
        </w:rPr>
        <w:t>有限公司于</w:t>
      </w:r>
      <w:r>
        <w:rPr>
          <w:rFonts w:ascii="宋体" w:hAnsi="宋体" w:cs="宋体"/>
          <w:sz w:val="24"/>
        </w:rPr>
        <w:t>201</w:t>
      </w:r>
      <w:r>
        <w:rPr>
          <w:rFonts w:ascii="宋体" w:hAnsi="宋体" w:cs="宋体" w:hint="eastAsia"/>
          <w:sz w:val="24"/>
        </w:rPr>
        <w:t>9</w:t>
      </w:r>
      <w:r>
        <w:rPr>
          <w:rFonts w:ascii="宋体" w:hAnsi="宋体" w:cs="宋体"/>
          <w:sz w:val="24"/>
        </w:rPr>
        <w:t>年</w:t>
      </w:r>
      <w:r>
        <w:rPr>
          <w:rFonts w:ascii="宋体" w:hAnsi="宋体" w:cs="宋体" w:hint="eastAsia"/>
          <w:sz w:val="24"/>
        </w:rPr>
        <w:t>3</w:t>
      </w:r>
      <w:r>
        <w:rPr>
          <w:rFonts w:ascii="宋体" w:hAnsi="宋体" w:cs="宋体"/>
          <w:sz w:val="24"/>
        </w:rPr>
        <w:t>月</w:t>
      </w:r>
      <w:r>
        <w:rPr>
          <w:rFonts w:ascii="宋体" w:hAnsi="宋体" w:cs="宋体" w:hint="eastAsia"/>
          <w:sz w:val="24"/>
        </w:rPr>
        <w:t>初召开了标准起草准备会，成立了标准研制工作组，明确了人员职责分工、研制计划、时间进度安排及标准研制的重点和框架。在行业标准BB/T 0064-2013</w:t>
      </w:r>
      <w:r>
        <w:rPr>
          <w:rFonts w:ascii="宋体" w:hAnsi="宋体" w:cs="Arial" w:hint="eastAsia"/>
          <w:sz w:val="24"/>
          <w:shd w:val="clear" w:color="auto" w:fill="FFFFFF"/>
        </w:rPr>
        <w:t>《包装容器  钢质手提罐》的</w:t>
      </w:r>
      <w:r>
        <w:rPr>
          <w:rFonts w:ascii="宋体" w:hAnsi="宋体" w:cs="宋体" w:hint="eastAsia"/>
          <w:sz w:val="24"/>
        </w:rPr>
        <w:t>基础上，根据企业、产品实际发展情况对相关指标作了提升和完善，同时，增加基本要求和质量承诺内容。工作组于2019年6月8日召开了启动研讨会，对各项工作进行了分工和落实。</w:t>
      </w:r>
    </w:p>
    <w:p w:rsidR="002876E2" w:rsidRDefault="005E4134" w:rsidP="00246D06">
      <w:pPr>
        <w:numPr>
          <w:ilvl w:val="0"/>
          <w:numId w:val="5"/>
        </w:numPr>
        <w:adjustRightInd w:val="0"/>
        <w:snapToGrid w:val="0"/>
        <w:spacing w:beforeLines="50" w:line="360" w:lineRule="auto"/>
        <w:ind w:left="0" w:firstLine="0"/>
        <w:rPr>
          <w:rFonts w:ascii="宋体" w:hAnsi="宋体" w:cs="宋体"/>
          <w:sz w:val="24"/>
        </w:rPr>
      </w:pPr>
      <w:r>
        <w:rPr>
          <w:rFonts w:ascii="宋体" w:hAnsi="宋体" w:cs="仿宋" w:hint="eastAsia"/>
          <w:sz w:val="24"/>
        </w:rPr>
        <w:t>制定工作计划</w:t>
      </w:r>
    </w:p>
    <w:p w:rsidR="002876E2" w:rsidRDefault="005E4134">
      <w:pPr>
        <w:spacing w:line="360" w:lineRule="auto"/>
        <w:ind w:firstLineChars="200" w:firstLine="480"/>
        <w:rPr>
          <w:rFonts w:ascii="宋体" w:hAnsi="宋体" w:cs="宋体"/>
          <w:sz w:val="24"/>
        </w:rPr>
      </w:pPr>
      <w:r>
        <w:rPr>
          <w:rFonts w:ascii="宋体" w:hAnsi="宋体" w:cs="宋体" w:hint="eastAsia"/>
          <w:sz w:val="24"/>
        </w:rPr>
        <w:t>项目将严格按照标准制修订的流程开展标准制修订工作，在广泛调研的基础上，标准工作组对标准草案进行规划和起草；在意见征求阶段，将广泛征求各相关利益方的意见，整理汇总</w:t>
      </w:r>
      <w:proofErr w:type="gramStart"/>
      <w:r>
        <w:rPr>
          <w:rFonts w:ascii="宋体" w:hAnsi="宋体" w:cs="宋体" w:hint="eastAsia"/>
          <w:sz w:val="24"/>
        </w:rPr>
        <w:t>成意见</w:t>
      </w:r>
      <w:proofErr w:type="gramEnd"/>
      <w:r>
        <w:rPr>
          <w:rFonts w:ascii="宋体" w:hAnsi="宋体" w:cs="宋体" w:hint="eastAsia"/>
          <w:sz w:val="24"/>
        </w:rPr>
        <w:t>汇总表，逐条反馈和论证。组织领域内的专家对标准最终方案进行论证，保证标准的质量和有效性、</w:t>
      </w:r>
      <w:r>
        <w:rPr>
          <w:rFonts w:ascii="宋体" w:hAnsi="宋体" w:cs="宋体"/>
          <w:sz w:val="24"/>
        </w:rPr>
        <w:t>可操作性，</w:t>
      </w:r>
      <w:r>
        <w:rPr>
          <w:rFonts w:ascii="宋体" w:hAnsi="宋体" w:cs="宋体" w:hint="eastAsia"/>
          <w:sz w:val="24"/>
        </w:rPr>
        <w:t>满足市场的实际需求。研制计划和时间安排如下：</w:t>
      </w:r>
    </w:p>
    <w:p w:rsidR="002876E2" w:rsidRDefault="005E4134">
      <w:pPr>
        <w:spacing w:line="360" w:lineRule="auto"/>
        <w:ind w:firstLineChars="200" w:firstLine="480"/>
        <w:rPr>
          <w:rFonts w:ascii="宋体" w:hAnsi="宋体" w:cs="宋体"/>
          <w:sz w:val="24"/>
        </w:rPr>
      </w:pPr>
      <w:r>
        <w:rPr>
          <w:rFonts w:ascii="宋体" w:hAnsi="宋体" w:cs="宋体" w:hint="eastAsia"/>
          <w:sz w:val="24"/>
        </w:rPr>
        <w:t>2019年1-5月：组建标准工作组，收集国内外的相关标准，起草浙江制造标准；</w:t>
      </w:r>
    </w:p>
    <w:p w:rsidR="002876E2" w:rsidRDefault="005E4134">
      <w:pPr>
        <w:spacing w:line="360" w:lineRule="auto"/>
        <w:ind w:firstLineChars="200" w:firstLine="480"/>
        <w:rPr>
          <w:rFonts w:ascii="宋体" w:hAnsi="宋体" w:cs="宋体"/>
          <w:sz w:val="24"/>
        </w:rPr>
      </w:pPr>
      <w:r>
        <w:rPr>
          <w:rFonts w:ascii="宋体" w:hAnsi="宋体" w:cs="宋体" w:hint="eastAsia"/>
          <w:sz w:val="24"/>
        </w:rPr>
        <w:t>2</w:t>
      </w:r>
      <w:r>
        <w:rPr>
          <w:rFonts w:ascii="宋体" w:hAnsi="宋体" w:cs="宋体"/>
          <w:sz w:val="24"/>
        </w:rPr>
        <w:t>019</w:t>
      </w:r>
      <w:r>
        <w:rPr>
          <w:rFonts w:ascii="宋体" w:hAnsi="宋体" w:cs="宋体" w:hint="eastAsia"/>
          <w:sz w:val="24"/>
        </w:rPr>
        <w:t>年6月8日：标准启动会和第一次研讨会；</w:t>
      </w:r>
    </w:p>
    <w:p w:rsidR="002876E2" w:rsidRDefault="005E4134">
      <w:pPr>
        <w:spacing w:line="360" w:lineRule="auto"/>
        <w:ind w:firstLineChars="200" w:firstLine="480"/>
        <w:rPr>
          <w:rFonts w:ascii="宋体" w:hAnsi="宋体" w:cs="宋体"/>
          <w:sz w:val="24"/>
        </w:rPr>
      </w:pPr>
      <w:r>
        <w:rPr>
          <w:rFonts w:ascii="宋体" w:hAnsi="宋体" w:cs="宋体" w:hint="eastAsia"/>
          <w:sz w:val="24"/>
        </w:rPr>
        <w:t>2019年7月*日：发出征求意见稿，广泛征求利益相关分的意见；</w:t>
      </w:r>
    </w:p>
    <w:p w:rsidR="002876E2" w:rsidRDefault="005E4134">
      <w:pPr>
        <w:spacing w:line="360" w:lineRule="auto"/>
        <w:ind w:firstLineChars="200" w:firstLine="480"/>
        <w:rPr>
          <w:rFonts w:ascii="宋体" w:hAnsi="宋体" w:cs="宋体"/>
          <w:sz w:val="24"/>
        </w:rPr>
      </w:pPr>
      <w:r>
        <w:rPr>
          <w:rFonts w:ascii="宋体" w:hAnsi="宋体" w:cs="宋体" w:hint="eastAsia"/>
          <w:sz w:val="24"/>
        </w:rPr>
        <w:t>2019年7月*日：依据征求意见修改标准草案，并提交评审；</w:t>
      </w:r>
    </w:p>
    <w:p w:rsidR="002876E2" w:rsidRDefault="005E4134">
      <w:pPr>
        <w:spacing w:line="360" w:lineRule="auto"/>
        <w:ind w:firstLineChars="200" w:firstLine="480"/>
        <w:rPr>
          <w:rFonts w:ascii="宋体" w:hAnsi="宋体" w:cs="宋体"/>
          <w:sz w:val="24"/>
        </w:rPr>
      </w:pPr>
      <w:r>
        <w:rPr>
          <w:rFonts w:ascii="宋体" w:hAnsi="宋体" w:cs="宋体" w:hint="eastAsia"/>
          <w:sz w:val="24"/>
        </w:rPr>
        <w:t>2019年8月*日：标准评审会。</w:t>
      </w:r>
    </w:p>
    <w:p w:rsidR="002876E2" w:rsidRDefault="005E4134">
      <w:pPr>
        <w:spacing w:line="500" w:lineRule="exact"/>
        <w:rPr>
          <w:rFonts w:ascii="黑体" w:eastAsia="黑体" w:hAnsi="宋体"/>
          <w:sz w:val="24"/>
        </w:rPr>
      </w:pPr>
      <w:r>
        <w:rPr>
          <w:rFonts w:ascii="黑体" w:eastAsia="黑体" w:hAnsi="宋体" w:hint="eastAsia"/>
          <w:sz w:val="24"/>
        </w:rPr>
        <w:t>3.2.2 标准草案研制</w:t>
      </w:r>
    </w:p>
    <w:p w:rsidR="002876E2" w:rsidRDefault="005E4134">
      <w:pPr>
        <w:spacing w:line="360" w:lineRule="auto"/>
        <w:ind w:firstLineChars="200" w:firstLine="480"/>
        <w:rPr>
          <w:rFonts w:ascii="宋体" w:hAnsi="宋体" w:cs="宋体"/>
          <w:sz w:val="24"/>
        </w:rPr>
      </w:pPr>
      <w:r>
        <w:rPr>
          <w:rFonts w:ascii="宋体" w:hAnsi="宋体" w:cs="宋体" w:hint="eastAsia"/>
          <w:sz w:val="24"/>
        </w:rPr>
        <w:t>公司于</w:t>
      </w:r>
      <w:r>
        <w:rPr>
          <w:rFonts w:ascii="宋体" w:hAnsi="宋体" w:cs="宋体"/>
          <w:sz w:val="24"/>
        </w:rPr>
        <w:t>2019</w:t>
      </w:r>
      <w:r>
        <w:rPr>
          <w:rFonts w:ascii="宋体" w:hAnsi="宋体" w:cs="宋体" w:hint="eastAsia"/>
          <w:sz w:val="24"/>
        </w:rPr>
        <w:t>年</w:t>
      </w:r>
      <w:r>
        <w:rPr>
          <w:rFonts w:ascii="宋体" w:hAnsi="宋体" w:cs="宋体"/>
          <w:sz w:val="24"/>
        </w:rPr>
        <w:t>3</w:t>
      </w:r>
      <w:r>
        <w:rPr>
          <w:rFonts w:ascii="宋体" w:hAnsi="宋体" w:cs="宋体" w:hint="eastAsia"/>
          <w:sz w:val="24"/>
        </w:rPr>
        <w:t>月</w:t>
      </w:r>
      <w:r>
        <w:rPr>
          <w:rFonts w:ascii="宋体" w:hAnsi="宋体" w:cs="宋体"/>
          <w:sz w:val="24"/>
        </w:rPr>
        <w:t>7日召开了内部</w:t>
      </w:r>
      <w:r>
        <w:rPr>
          <w:rFonts w:ascii="宋体" w:hAnsi="宋体" w:cs="宋体" w:hint="eastAsia"/>
          <w:sz w:val="24"/>
        </w:rPr>
        <w:t>项目启动会，对各项工作进行了分工和落实，</w:t>
      </w:r>
      <w:r>
        <w:rPr>
          <w:rFonts w:ascii="宋体" w:hAnsi="宋体" w:cs="宋体"/>
          <w:sz w:val="24"/>
        </w:rPr>
        <w:t>2018年3</w:t>
      </w:r>
      <w:r>
        <w:rPr>
          <w:rFonts w:ascii="宋体" w:hAnsi="宋体" w:cs="宋体" w:hint="eastAsia"/>
          <w:sz w:val="24"/>
        </w:rPr>
        <w:t>月</w:t>
      </w:r>
      <w:r>
        <w:rPr>
          <w:rFonts w:ascii="宋体" w:hAnsi="宋体" w:cs="宋体"/>
          <w:sz w:val="24"/>
        </w:rPr>
        <w:t>13</w:t>
      </w:r>
      <w:r>
        <w:rPr>
          <w:rFonts w:ascii="宋体" w:hAnsi="宋体" w:cs="宋体" w:hint="eastAsia"/>
          <w:sz w:val="24"/>
        </w:rPr>
        <w:t>日至</w:t>
      </w:r>
      <w:r>
        <w:rPr>
          <w:rFonts w:ascii="宋体" w:hAnsi="宋体" w:cs="宋体"/>
          <w:sz w:val="24"/>
        </w:rPr>
        <w:t>3</w:t>
      </w:r>
      <w:r>
        <w:rPr>
          <w:rFonts w:ascii="宋体" w:hAnsi="宋体" w:cs="宋体" w:hint="eastAsia"/>
          <w:sz w:val="24"/>
        </w:rPr>
        <w:t>月</w:t>
      </w:r>
      <w:r>
        <w:rPr>
          <w:rFonts w:ascii="宋体" w:hAnsi="宋体" w:cs="宋体"/>
          <w:sz w:val="24"/>
        </w:rPr>
        <w:t>15</w:t>
      </w:r>
      <w:r>
        <w:rPr>
          <w:rFonts w:ascii="宋体" w:hAnsi="宋体" w:cs="宋体" w:hint="eastAsia"/>
          <w:sz w:val="24"/>
        </w:rPr>
        <w:t>日以</w:t>
      </w:r>
      <w:proofErr w:type="gramStart"/>
      <w:r>
        <w:rPr>
          <w:rFonts w:ascii="宋体" w:hAnsi="宋体" w:cs="宋体" w:hint="eastAsia"/>
          <w:sz w:val="24"/>
        </w:rPr>
        <w:t>杭州鼎升机械</w:t>
      </w:r>
      <w:proofErr w:type="gramEnd"/>
      <w:r>
        <w:rPr>
          <w:rFonts w:ascii="宋体" w:hAnsi="宋体" w:cs="宋体" w:hint="eastAsia"/>
          <w:sz w:val="24"/>
        </w:rPr>
        <w:t>有限公司为主要起草单位的标准工作组起草了标准草案一稿，起草小组从浙江制造标准制定理念出发，提出标准中基本要求内容的确定必须从全生命周期和系统过程的角度进行设计智能化、原材料选用的绿色化、工艺及设备的自动化、检测检验的自动化出发来编写；在质量保证方面要从履行社会责任的角度提出相应的质量和服务等承诺要求。标准起草过程中针对型式试验内规定的</w:t>
      </w:r>
      <w:proofErr w:type="gramStart"/>
      <w:r>
        <w:rPr>
          <w:rFonts w:ascii="宋体" w:hAnsi="宋体" w:cs="宋体" w:hint="eastAsia"/>
          <w:sz w:val="24"/>
        </w:rPr>
        <w:t>全技术</w:t>
      </w:r>
      <w:proofErr w:type="gramEnd"/>
      <w:r>
        <w:rPr>
          <w:rFonts w:ascii="宋体" w:hAnsi="宋体" w:cs="宋体" w:hint="eastAsia"/>
          <w:sz w:val="24"/>
        </w:rPr>
        <w:t>指标先进性研讨情况和基本要求和质量保证方面的先进性方面研讨，情况详见标准《包装容器  钢质手提罐》。</w:t>
      </w:r>
    </w:p>
    <w:p w:rsidR="002876E2" w:rsidRDefault="005E4134">
      <w:pPr>
        <w:spacing w:line="500" w:lineRule="exact"/>
        <w:rPr>
          <w:rFonts w:ascii="仿宋_GB2312" w:eastAsia="仿宋_GB2312" w:hAnsi="宋体"/>
          <w:sz w:val="24"/>
        </w:rPr>
      </w:pPr>
      <w:r>
        <w:rPr>
          <w:rFonts w:ascii="黑体" w:eastAsia="黑体" w:hAnsi="黑体" w:hint="eastAsia"/>
          <w:sz w:val="24"/>
        </w:rPr>
        <w:t>3.2.3</w:t>
      </w:r>
      <w:r>
        <w:rPr>
          <w:rFonts w:ascii="仿宋_GB2312" w:eastAsia="仿宋_GB2312" w:hAnsi="宋体" w:hint="eastAsia"/>
          <w:sz w:val="24"/>
        </w:rPr>
        <w:t xml:space="preserve">  征求意见</w:t>
      </w:r>
    </w:p>
    <w:p w:rsidR="002876E2" w:rsidRDefault="005E4134">
      <w:pPr>
        <w:spacing w:line="500" w:lineRule="exact"/>
        <w:ind w:firstLineChars="200" w:firstLine="480"/>
        <w:rPr>
          <w:rFonts w:ascii="宋体" w:hAnsi="宋体" w:cs="宋体"/>
          <w:sz w:val="24"/>
        </w:rPr>
      </w:pPr>
      <w:r>
        <w:rPr>
          <w:rFonts w:ascii="宋体" w:hAnsi="宋体" w:cs="宋体" w:hint="eastAsia"/>
          <w:sz w:val="24"/>
        </w:rPr>
        <w:t>********</w:t>
      </w:r>
    </w:p>
    <w:p w:rsidR="002876E2" w:rsidRDefault="005E4134">
      <w:pPr>
        <w:spacing w:line="500" w:lineRule="exact"/>
        <w:rPr>
          <w:rFonts w:ascii="仿宋_GB2312" w:eastAsia="仿宋_GB2312" w:hAnsi="宋体"/>
          <w:sz w:val="24"/>
        </w:rPr>
      </w:pPr>
      <w:r>
        <w:rPr>
          <w:rFonts w:ascii="黑体" w:eastAsia="黑体" w:hAnsi="黑体" w:hint="eastAsia"/>
          <w:sz w:val="24"/>
        </w:rPr>
        <w:t xml:space="preserve">3.2.4  </w:t>
      </w:r>
      <w:r>
        <w:rPr>
          <w:rFonts w:ascii="仿宋_GB2312" w:eastAsia="仿宋_GB2312" w:hAnsi="宋体" w:hint="eastAsia"/>
          <w:sz w:val="24"/>
        </w:rPr>
        <w:t>专家</w:t>
      </w:r>
      <w:r>
        <w:rPr>
          <w:rFonts w:ascii="仿宋_GB2312" w:eastAsia="仿宋_GB2312" w:hAnsi="宋体"/>
          <w:sz w:val="24"/>
        </w:rPr>
        <w:t>评审</w:t>
      </w:r>
    </w:p>
    <w:p w:rsidR="002876E2" w:rsidRDefault="005E4134">
      <w:pPr>
        <w:spacing w:line="360" w:lineRule="auto"/>
        <w:ind w:firstLineChars="200" w:firstLine="480"/>
        <w:rPr>
          <w:rFonts w:ascii="宋体" w:hAnsi="宋体" w:cs="宋体"/>
          <w:sz w:val="24"/>
        </w:rPr>
      </w:pPr>
      <w:r>
        <w:rPr>
          <w:rFonts w:ascii="宋体" w:hAnsi="宋体" w:cs="宋体" w:hint="eastAsia"/>
          <w:sz w:val="24"/>
        </w:rPr>
        <w:lastRenderedPageBreak/>
        <w:t>*******</w:t>
      </w:r>
    </w:p>
    <w:p w:rsidR="002876E2" w:rsidRDefault="005E4134">
      <w:pPr>
        <w:spacing w:line="500" w:lineRule="exact"/>
        <w:rPr>
          <w:rFonts w:ascii="仿宋_GB2312" w:eastAsia="仿宋_GB2312" w:hAnsi="宋体"/>
          <w:sz w:val="24"/>
        </w:rPr>
      </w:pPr>
      <w:r>
        <w:rPr>
          <w:rFonts w:ascii="黑体" w:eastAsia="黑体" w:hAnsi="黑体"/>
          <w:sz w:val="24"/>
        </w:rPr>
        <w:t xml:space="preserve">3.2.5 </w:t>
      </w:r>
      <w:r>
        <w:rPr>
          <w:rFonts w:ascii="仿宋_GB2312" w:eastAsia="仿宋_GB2312" w:hAnsi="宋体"/>
          <w:sz w:val="24"/>
        </w:rPr>
        <w:t xml:space="preserve"> </w:t>
      </w:r>
      <w:r>
        <w:rPr>
          <w:rFonts w:ascii="仿宋_GB2312" w:eastAsia="仿宋_GB2312" w:hAnsi="宋体" w:hint="eastAsia"/>
          <w:sz w:val="24"/>
        </w:rPr>
        <w:t>标准</w:t>
      </w:r>
      <w:r>
        <w:rPr>
          <w:rFonts w:ascii="仿宋_GB2312" w:eastAsia="仿宋_GB2312" w:hAnsi="宋体"/>
          <w:sz w:val="24"/>
        </w:rPr>
        <w:t>报批</w:t>
      </w:r>
    </w:p>
    <w:p w:rsidR="002876E2" w:rsidRDefault="005E4134">
      <w:pPr>
        <w:spacing w:line="500" w:lineRule="exact"/>
        <w:ind w:firstLineChars="200" w:firstLine="480"/>
        <w:rPr>
          <w:rFonts w:ascii="宋体" w:hAnsi="宋体" w:cs="宋体"/>
          <w:sz w:val="24"/>
        </w:rPr>
      </w:pPr>
      <w:r>
        <w:rPr>
          <w:rFonts w:ascii="宋体" w:hAnsi="宋体" w:cs="宋体" w:hint="eastAsia"/>
          <w:sz w:val="24"/>
        </w:rPr>
        <w:t>*********</w:t>
      </w:r>
    </w:p>
    <w:p w:rsidR="002876E2" w:rsidRDefault="005E4134">
      <w:pPr>
        <w:pStyle w:val="a1"/>
        <w:numPr>
          <w:ilvl w:val="0"/>
          <w:numId w:val="0"/>
        </w:numPr>
        <w:spacing w:before="312" w:after="312"/>
        <w:jc w:val="left"/>
        <w:rPr>
          <w:rFonts w:hAnsi="黑体"/>
          <w:sz w:val="24"/>
          <w:szCs w:val="24"/>
        </w:rPr>
      </w:pPr>
      <w:r>
        <w:rPr>
          <w:rFonts w:hAnsi="黑体" w:hint="eastAsia"/>
          <w:sz w:val="24"/>
          <w:szCs w:val="24"/>
        </w:rPr>
        <w:t>4  标准编制原则、主要内容及确定依据</w:t>
      </w:r>
    </w:p>
    <w:p w:rsidR="002876E2" w:rsidRDefault="005E4134">
      <w:pPr>
        <w:pStyle w:val="a1"/>
        <w:numPr>
          <w:ilvl w:val="1"/>
          <w:numId w:val="1"/>
        </w:numPr>
        <w:spacing w:before="312" w:after="312"/>
        <w:jc w:val="left"/>
        <w:rPr>
          <w:rFonts w:ascii="宋体" w:hAnsi="宋体" w:cs="宋体"/>
          <w:sz w:val="24"/>
        </w:rPr>
      </w:pPr>
      <w:r>
        <w:rPr>
          <w:rFonts w:hAnsi="黑体" w:hint="eastAsia"/>
          <w:sz w:val="24"/>
          <w:szCs w:val="24"/>
        </w:rPr>
        <w:t xml:space="preserve"> 编制原则</w:t>
      </w:r>
    </w:p>
    <w:p w:rsidR="002876E2" w:rsidRDefault="005E4134">
      <w:pPr>
        <w:spacing w:line="360" w:lineRule="auto"/>
        <w:ind w:firstLineChars="200" w:firstLine="480"/>
        <w:rPr>
          <w:rFonts w:ascii="宋体" w:hAnsi="宋体" w:cs="宋体"/>
          <w:sz w:val="24"/>
        </w:rPr>
      </w:pPr>
      <w:r>
        <w:rPr>
          <w:rFonts w:ascii="宋体" w:hAnsi="宋体" w:cs="宋体" w:hint="eastAsia"/>
          <w:sz w:val="24"/>
        </w:rPr>
        <w:t>本标准格式按照</w:t>
      </w:r>
      <w:r>
        <w:rPr>
          <w:rFonts w:ascii="宋体" w:hAnsi="宋体" w:cs="宋体"/>
          <w:sz w:val="24"/>
        </w:rPr>
        <w:t>GB/T</w:t>
      </w:r>
      <w:r>
        <w:rPr>
          <w:rFonts w:ascii="宋体" w:hAnsi="宋体" w:cs="宋体" w:hint="eastAsia"/>
          <w:sz w:val="24"/>
        </w:rPr>
        <w:t xml:space="preserve"> </w:t>
      </w:r>
      <w:r>
        <w:rPr>
          <w:rFonts w:ascii="宋体" w:hAnsi="宋体" w:cs="宋体"/>
          <w:sz w:val="24"/>
        </w:rPr>
        <w:t>1.1</w:t>
      </w:r>
      <w:r>
        <w:rPr>
          <w:rFonts w:ascii="宋体" w:hAnsi="宋体" w:cs="宋体" w:hint="eastAsia"/>
          <w:sz w:val="24"/>
        </w:rPr>
        <w:t>—2009《标准化工作导则 第1部分：标准的结构和编写》的规定进行编写。</w:t>
      </w:r>
    </w:p>
    <w:p w:rsidR="002876E2" w:rsidRDefault="005E4134">
      <w:pPr>
        <w:spacing w:line="360" w:lineRule="auto"/>
        <w:ind w:firstLineChars="200" w:firstLine="480"/>
        <w:rPr>
          <w:rFonts w:ascii="宋体" w:hAnsi="宋体" w:cs="宋体"/>
          <w:sz w:val="24"/>
        </w:rPr>
      </w:pPr>
      <w:r>
        <w:rPr>
          <w:rFonts w:ascii="宋体" w:hAnsi="宋体" w:cs="宋体" w:hint="eastAsia"/>
          <w:sz w:val="24"/>
        </w:rPr>
        <w:t>本标准以BB/T0064-2013《包装容器  钢质手提罐》为基础，参考了国内外先进标准，结合产业和技术发展趋势，按照“浙江制造”标准定位而制定。</w:t>
      </w:r>
    </w:p>
    <w:p w:rsidR="002876E2" w:rsidRDefault="005E4134">
      <w:pPr>
        <w:pStyle w:val="a1"/>
        <w:numPr>
          <w:ilvl w:val="0"/>
          <w:numId w:val="0"/>
        </w:numPr>
        <w:spacing w:before="312" w:after="312"/>
        <w:jc w:val="left"/>
        <w:rPr>
          <w:rFonts w:hAnsi="黑体"/>
          <w:sz w:val="24"/>
          <w:szCs w:val="24"/>
        </w:rPr>
      </w:pPr>
      <w:r>
        <w:rPr>
          <w:rFonts w:hAnsi="黑体" w:hint="eastAsia"/>
          <w:sz w:val="24"/>
          <w:szCs w:val="24"/>
        </w:rPr>
        <w:t>4.2  主要内容及确定依据</w:t>
      </w:r>
    </w:p>
    <w:p w:rsidR="002876E2" w:rsidRDefault="005E4134">
      <w:pPr>
        <w:spacing w:line="500" w:lineRule="exact"/>
        <w:rPr>
          <w:rFonts w:ascii="黑体" w:eastAsia="黑体" w:hAnsi="黑体"/>
          <w:sz w:val="24"/>
        </w:rPr>
      </w:pPr>
      <w:r>
        <w:rPr>
          <w:rFonts w:ascii="黑体" w:eastAsia="黑体" w:hAnsi="黑体" w:hint="eastAsia"/>
          <w:sz w:val="24"/>
        </w:rPr>
        <w:t>4.2.1 标准主要内容</w:t>
      </w:r>
    </w:p>
    <w:p w:rsidR="002876E2" w:rsidRDefault="005E4134">
      <w:pPr>
        <w:pStyle w:val="ad"/>
        <w:spacing w:line="360" w:lineRule="auto"/>
        <w:rPr>
          <w:rFonts w:ascii="宋体" w:hAnsi="宋体" w:cs="宋体"/>
          <w:sz w:val="24"/>
        </w:rPr>
      </w:pPr>
      <w:r>
        <w:rPr>
          <w:rFonts w:ascii="宋体" w:hAnsi="宋体" w:cs="宋体" w:hint="eastAsia"/>
          <w:sz w:val="24"/>
        </w:rPr>
        <w:t>本标准规定了钢质手提油罐（以下简称罐）的结构型式、基本要求、技术要求、检验方法、检验规则、标志、包装、运输和贮存、质量承诺。</w:t>
      </w:r>
    </w:p>
    <w:p w:rsidR="002876E2" w:rsidRDefault="005E4134">
      <w:pPr>
        <w:pStyle w:val="ad"/>
        <w:spacing w:line="360" w:lineRule="auto"/>
        <w:ind w:firstLine="480"/>
        <w:rPr>
          <w:rFonts w:ascii="宋体" w:hAnsi="宋体" w:cs="宋体"/>
          <w:sz w:val="24"/>
        </w:rPr>
      </w:pPr>
      <w:r>
        <w:rPr>
          <w:rFonts w:ascii="宋体" w:hAnsi="宋体" w:cs="宋体" w:hint="eastAsia"/>
          <w:sz w:val="24"/>
        </w:rPr>
        <w:t>且规定本标准适用于盛装危险品，以薄钢板为主要原料且最大容积不大于</w:t>
      </w:r>
      <w:r>
        <w:rPr>
          <w:rFonts w:ascii="宋体" w:hAnsi="宋体" w:cs="宋体"/>
          <w:sz w:val="24"/>
        </w:rPr>
        <w:t>35L</w:t>
      </w:r>
      <w:r>
        <w:rPr>
          <w:rFonts w:ascii="宋体" w:hAnsi="宋体" w:cs="宋体" w:hint="eastAsia"/>
          <w:sz w:val="24"/>
        </w:rPr>
        <w:t>的钢质手提罐。</w:t>
      </w:r>
    </w:p>
    <w:p w:rsidR="002876E2" w:rsidRDefault="005E4134">
      <w:pPr>
        <w:spacing w:line="500" w:lineRule="exact"/>
        <w:rPr>
          <w:rFonts w:ascii="黑体" w:eastAsia="黑体" w:hAnsi="黑体"/>
          <w:sz w:val="24"/>
        </w:rPr>
      </w:pPr>
      <w:r>
        <w:rPr>
          <w:rFonts w:ascii="黑体" w:eastAsia="黑体" w:hAnsi="黑体" w:hint="eastAsia"/>
          <w:sz w:val="24"/>
        </w:rPr>
        <w:t>4.2.2标准确定依据</w:t>
      </w:r>
    </w:p>
    <w:p w:rsidR="002876E2" w:rsidRDefault="005E4134">
      <w:pPr>
        <w:widowControl/>
        <w:spacing w:line="360" w:lineRule="auto"/>
        <w:ind w:firstLineChars="300" w:firstLine="720"/>
        <w:jc w:val="left"/>
        <w:rPr>
          <w:rFonts w:ascii="宋体" w:hAnsi="宋体" w:cs="宋体"/>
          <w:sz w:val="24"/>
        </w:rPr>
      </w:pPr>
      <w:r>
        <w:rPr>
          <w:rFonts w:ascii="宋体" w:hAnsi="宋体" w:cs="宋体" w:hint="eastAsia"/>
          <w:sz w:val="24"/>
        </w:rPr>
        <w:t>本标准按照 GB/T 1.1—2009给出的规则起草, 基于BB/T 0064—2013 《包装容器  钢质手提罐》，国际通用标准《国际海运危险货物规则》、日本KHK标准（</w:t>
      </w:r>
      <w:r>
        <w:rPr>
          <w:rFonts w:ascii="宋体" w:hAnsi="宋体" w:cs="宋体"/>
          <w:kern w:val="0"/>
          <w:sz w:val="24"/>
        </w:rPr>
        <w:t>ガソリン携行</w:t>
      </w:r>
      <w:proofErr w:type="gramStart"/>
      <w:r>
        <w:rPr>
          <w:rFonts w:ascii="宋体" w:hAnsi="宋体" w:cs="宋体"/>
          <w:kern w:val="0"/>
          <w:sz w:val="24"/>
        </w:rPr>
        <w:t>缶</w:t>
      </w:r>
      <w:proofErr w:type="gramEnd"/>
      <w:r>
        <w:rPr>
          <w:rFonts w:ascii="宋体" w:hAnsi="宋体" w:cs="宋体"/>
          <w:kern w:val="0"/>
          <w:sz w:val="24"/>
        </w:rPr>
        <w:t>試験</w:t>
      </w:r>
      <w:r>
        <w:rPr>
          <w:rFonts w:ascii="宋体" w:hAnsi="宋体" w:cs="宋体" w:hint="eastAsia"/>
          <w:kern w:val="0"/>
          <w:sz w:val="24"/>
        </w:rPr>
        <w:t>の</w:t>
      </w:r>
      <w:r>
        <w:rPr>
          <w:rFonts w:ascii="宋体" w:hAnsi="宋体" w:cs="宋体"/>
          <w:kern w:val="0"/>
          <w:sz w:val="24"/>
        </w:rPr>
        <w:t>確認基</w:t>
      </w:r>
      <w:proofErr w:type="gramStart"/>
      <w:r>
        <w:rPr>
          <w:rFonts w:ascii="宋体" w:hAnsi="宋体" w:cs="宋体"/>
          <w:kern w:val="0"/>
          <w:sz w:val="24"/>
        </w:rPr>
        <w:t>準</w:t>
      </w:r>
      <w:proofErr w:type="gramEnd"/>
      <w:r>
        <w:rPr>
          <w:rFonts w:ascii="宋体" w:hAnsi="宋体" w:cs="宋体" w:hint="eastAsia"/>
          <w:sz w:val="24"/>
        </w:rPr>
        <w:t>）、澳洲标准（AS/NZS 2906：2001）等标准要求；根据企业产品实际情况和国内外发展趋势对相关指标进行提高且增加了相应的技术要求，技术参数、指标经过检测验证，符合先进、合理、可操作的标准制定要求。</w:t>
      </w:r>
    </w:p>
    <w:p w:rsidR="002876E2" w:rsidRDefault="005E4134">
      <w:pPr>
        <w:pStyle w:val="a1"/>
        <w:numPr>
          <w:ilvl w:val="0"/>
          <w:numId w:val="0"/>
        </w:numPr>
        <w:spacing w:before="312" w:after="312"/>
        <w:jc w:val="left"/>
        <w:rPr>
          <w:rFonts w:ascii="宋体" w:hAnsi="宋体"/>
          <w:sz w:val="24"/>
          <w:szCs w:val="24"/>
        </w:rPr>
      </w:pPr>
      <w:r>
        <w:rPr>
          <w:rFonts w:hAnsi="黑体" w:hint="eastAsia"/>
          <w:sz w:val="24"/>
          <w:szCs w:val="24"/>
        </w:rPr>
        <w:t xml:space="preserve">5  </w:t>
      </w:r>
      <w:r>
        <w:rPr>
          <w:rFonts w:ascii="宋体" w:hAnsi="宋体" w:hint="eastAsia"/>
          <w:sz w:val="24"/>
          <w:szCs w:val="24"/>
        </w:rPr>
        <w:t>标准先进性体现</w:t>
      </w:r>
    </w:p>
    <w:p w:rsidR="002876E2" w:rsidRDefault="005E4134">
      <w:pPr>
        <w:spacing w:line="500" w:lineRule="exact"/>
        <w:rPr>
          <w:rFonts w:ascii="仿宋_GB2312" w:eastAsia="仿宋_GB2312" w:hAnsi="宋体"/>
          <w:sz w:val="24"/>
        </w:rPr>
      </w:pPr>
      <w:r>
        <w:rPr>
          <w:rFonts w:ascii="黑体" w:eastAsia="黑体" w:hAnsi="黑体" w:hint="eastAsia"/>
          <w:sz w:val="24"/>
        </w:rPr>
        <w:t>5.1</w:t>
      </w:r>
      <w:r>
        <w:rPr>
          <w:rFonts w:ascii="仿宋_GB2312" w:eastAsia="仿宋_GB2312" w:hAnsi="宋体" w:hint="eastAsia"/>
          <w:sz w:val="24"/>
        </w:rPr>
        <w:t xml:space="preserve">  </w:t>
      </w:r>
      <w:r>
        <w:rPr>
          <w:rFonts w:ascii="黑体" w:eastAsia="黑体" w:hAnsi="黑体" w:hint="eastAsia"/>
          <w:sz w:val="24"/>
        </w:rPr>
        <w:t>型式试验内规定的所有指标对比分析情况</w:t>
      </w:r>
    </w:p>
    <w:p w:rsidR="002876E2" w:rsidRDefault="005E4134">
      <w:pPr>
        <w:spacing w:line="360" w:lineRule="auto"/>
        <w:ind w:firstLineChars="200" w:firstLine="480"/>
        <w:rPr>
          <w:rFonts w:ascii="宋体" w:hAnsi="宋体" w:cs="宋体"/>
          <w:sz w:val="24"/>
        </w:rPr>
      </w:pPr>
      <w:r>
        <w:rPr>
          <w:rFonts w:ascii="宋体" w:hAnsi="宋体" w:cs="宋体" w:hint="eastAsia"/>
          <w:sz w:val="24"/>
        </w:rPr>
        <w:t>本标准是在BB/T 0064-2013 《包装容器  钢质手提罐》标准基础上，并结合国际标准和国外客户指标要求制定而成，型式试验规定指标的先进性主要体现如下</w:t>
      </w:r>
      <w:r>
        <w:rPr>
          <w:rFonts w:ascii="宋体" w:hAnsi="宋体" w:cs="宋体"/>
          <w:sz w:val="24"/>
        </w:rPr>
        <w:t>:</w:t>
      </w:r>
    </w:p>
    <w:p w:rsidR="002876E2" w:rsidRDefault="005E4134">
      <w:pPr>
        <w:spacing w:line="360" w:lineRule="auto"/>
        <w:ind w:firstLineChars="200" w:firstLine="480"/>
        <w:rPr>
          <w:rFonts w:ascii="宋体" w:hAnsi="宋体" w:cs="宋体"/>
          <w:sz w:val="24"/>
        </w:rPr>
      </w:pPr>
      <w:r>
        <w:rPr>
          <w:rFonts w:ascii="宋体" w:hAnsi="宋体" w:cs="宋体" w:hint="eastAsia"/>
          <w:sz w:val="24"/>
        </w:rPr>
        <w:lastRenderedPageBreak/>
        <w:t>1）气密性能</w:t>
      </w:r>
    </w:p>
    <w:p w:rsidR="002876E2" w:rsidRDefault="005E4134">
      <w:pPr>
        <w:spacing w:line="360" w:lineRule="auto"/>
        <w:ind w:firstLineChars="200" w:firstLine="480"/>
        <w:rPr>
          <w:rFonts w:ascii="宋体" w:hAnsi="宋体" w:cs="宋体"/>
          <w:sz w:val="24"/>
        </w:rPr>
      </w:pPr>
      <w:r>
        <w:rPr>
          <w:rFonts w:ascii="宋体" w:hAnsi="宋体" w:cs="宋体" w:hint="eastAsia"/>
          <w:sz w:val="24"/>
        </w:rPr>
        <w:t>油箱作为危险包装物容器，其首要功能是确保产品不漏，而气密性能指标参数是判定的一个主要依据之一。根据实际使用中客户的需求，本标准规定对每一个出厂产品应逐一进行气密性检测，性能要求跟国际</w:t>
      </w:r>
      <w:r>
        <w:rPr>
          <w:rFonts w:ascii="宋体" w:hAnsi="宋体" w:cs="宋体"/>
          <w:sz w:val="24"/>
        </w:rPr>
        <w:t>上要求最高的</w:t>
      </w:r>
      <w:r>
        <w:rPr>
          <w:rFonts w:ascii="宋体" w:hAnsi="宋体" w:cs="宋体" w:hint="eastAsia"/>
          <w:sz w:val="24"/>
        </w:rPr>
        <w:t>日本KHK标准</w:t>
      </w:r>
      <w:r>
        <w:rPr>
          <w:rFonts w:ascii="宋体" w:hAnsi="宋体" w:cs="宋体"/>
          <w:sz w:val="24"/>
        </w:rPr>
        <w:t>保持</w:t>
      </w:r>
      <w:r>
        <w:rPr>
          <w:rFonts w:ascii="宋体" w:hAnsi="宋体" w:cs="宋体" w:hint="eastAsia"/>
          <w:sz w:val="24"/>
        </w:rPr>
        <w:t>一致</w:t>
      </w:r>
      <w:r>
        <w:rPr>
          <w:rFonts w:ascii="宋体" w:hAnsi="宋体" w:cs="宋体"/>
          <w:sz w:val="24"/>
        </w:rPr>
        <w:t>，</w:t>
      </w:r>
      <w:r>
        <w:rPr>
          <w:rFonts w:ascii="宋体" w:hAnsi="宋体" w:cs="宋体" w:hint="eastAsia"/>
          <w:sz w:val="24"/>
        </w:rPr>
        <w:t>规定了气密性能达到49Kpa，</w:t>
      </w:r>
      <w:r>
        <w:rPr>
          <w:rFonts w:ascii="宋体" w:hAnsi="宋体" w:cs="宋体"/>
          <w:sz w:val="24"/>
        </w:rPr>
        <w:t>达到国际</w:t>
      </w:r>
      <w:r>
        <w:rPr>
          <w:rFonts w:ascii="宋体" w:hAnsi="宋体" w:cs="宋体" w:hint="eastAsia"/>
          <w:sz w:val="24"/>
        </w:rPr>
        <w:t>一流</w:t>
      </w:r>
      <w:r>
        <w:rPr>
          <w:rFonts w:ascii="宋体" w:hAnsi="宋体" w:cs="宋体"/>
          <w:sz w:val="24"/>
        </w:rPr>
        <w:t>水平</w:t>
      </w:r>
      <w:r>
        <w:rPr>
          <w:rFonts w:ascii="宋体" w:hAnsi="宋体" w:cs="宋体" w:hint="eastAsia"/>
          <w:sz w:val="24"/>
        </w:rPr>
        <w:t>。</w:t>
      </w:r>
    </w:p>
    <w:p w:rsidR="002876E2" w:rsidRDefault="005E4134">
      <w:pPr>
        <w:spacing w:line="360" w:lineRule="auto"/>
        <w:ind w:firstLine="465"/>
        <w:rPr>
          <w:rFonts w:ascii="宋体" w:hAnsi="宋体" w:cs="宋体"/>
          <w:sz w:val="24"/>
        </w:rPr>
      </w:pPr>
      <w:r>
        <w:rPr>
          <w:rFonts w:ascii="宋体" w:hAnsi="宋体" w:cs="宋体" w:hint="eastAsia"/>
          <w:sz w:val="24"/>
        </w:rPr>
        <w:t>2）液压性能</w:t>
      </w:r>
    </w:p>
    <w:p w:rsidR="002876E2" w:rsidRDefault="005E4134">
      <w:pPr>
        <w:spacing w:line="360" w:lineRule="auto"/>
        <w:ind w:firstLine="465"/>
        <w:rPr>
          <w:rFonts w:ascii="宋体" w:hAnsi="宋体" w:cs="宋体"/>
          <w:sz w:val="24"/>
        </w:rPr>
      </w:pPr>
      <w:r>
        <w:rPr>
          <w:rFonts w:ascii="宋体" w:hAnsi="宋体" w:cs="宋体" w:hint="eastAsia"/>
          <w:sz w:val="24"/>
        </w:rPr>
        <w:t xml:space="preserve">性能要求对标国家标准危险级别Ⅰ类包装测试压力250 </w:t>
      </w:r>
      <w:proofErr w:type="spellStart"/>
      <w:r>
        <w:rPr>
          <w:rFonts w:ascii="宋体" w:hAnsi="宋体" w:cs="宋体" w:hint="eastAsia"/>
          <w:sz w:val="24"/>
        </w:rPr>
        <w:t>Kpa</w:t>
      </w:r>
      <w:proofErr w:type="spellEnd"/>
      <w:r>
        <w:rPr>
          <w:rFonts w:ascii="宋体" w:hAnsi="宋体" w:cs="宋体" w:hint="eastAsia"/>
          <w:sz w:val="24"/>
        </w:rPr>
        <w:t>的要求，与日本KHK标准保持一致。</w:t>
      </w:r>
    </w:p>
    <w:p w:rsidR="002876E2" w:rsidRDefault="005E4134">
      <w:pPr>
        <w:spacing w:line="360" w:lineRule="auto"/>
        <w:ind w:firstLine="465"/>
        <w:rPr>
          <w:rFonts w:ascii="宋体" w:hAnsi="宋体" w:cs="宋体"/>
          <w:sz w:val="24"/>
        </w:rPr>
      </w:pPr>
      <w:r>
        <w:rPr>
          <w:rFonts w:ascii="宋体" w:hAnsi="宋体" w:cs="宋体" w:hint="eastAsia"/>
          <w:sz w:val="24"/>
        </w:rPr>
        <w:t>3）堆码性能</w:t>
      </w:r>
    </w:p>
    <w:p w:rsidR="002876E2" w:rsidRDefault="005E4134">
      <w:pPr>
        <w:spacing w:line="360" w:lineRule="auto"/>
        <w:ind w:firstLine="465"/>
        <w:rPr>
          <w:rFonts w:ascii="宋体" w:hAnsi="宋体" w:cs="宋体"/>
          <w:sz w:val="24"/>
        </w:rPr>
      </w:pPr>
      <w:r>
        <w:rPr>
          <w:rFonts w:ascii="宋体" w:hAnsi="宋体" w:cs="宋体" w:hint="eastAsia"/>
          <w:sz w:val="24"/>
        </w:rPr>
        <w:t>试验方法规定包括试样在内最小的堆码高度应是3米，</w:t>
      </w:r>
      <w:proofErr w:type="gramStart"/>
      <w:r>
        <w:rPr>
          <w:rFonts w:ascii="宋体" w:hAnsi="宋体" w:cs="宋体" w:hint="eastAsia"/>
          <w:sz w:val="24"/>
        </w:rPr>
        <w:t>罐无破</w:t>
      </w:r>
      <w:r>
        <w:rPr>
          <w:rFonts w:ascii="宋体" w:hAnsi="宋体" w:cs="宋体"/>
          <w:sz w:val="24"/>
        </w:rPr>
        <w:t>损</w:t>
      </w:r>
      <w:proofErr w:type="gramEnd"/>
      <w:r>
        <w:rPr>
          <w:rFonts w:ascii="宋体" w:hAnsi="宋体" w:cs="宋体" w:hint="eastAsia"/>
          <w:sz w:val="24"/>
        </w:rPr>
        <w:t>、</w:t>
      </w:r>
      <w:r>
        <w:rPr>
          <w:rFonts w:ascii="宋体" w:hAnsi="宋体" w:cs="宋体"/>
          <w:sz w:val="24"/>
        </w:rPr>
        <w:t>渗</w:t>
      </w:r>
      <w:r>
        <w:rPr>
          <w:rFonts w:ascii="宋体" w:hAnsi="宋体" w:cs="宋体" w:hint="eastAsia"/>
          <w:sz w:val="24"/>
        </w:rPr>
        <w:t>漏和降低强度或造成堆码不稳定的</w:t>
      </w:r>
      <w:r>
        <w:rPr>
          <w:rFonts w:ascii="宋体" w:hAnsi="宋体" w:cs="宋体"/>
          <w:sz w:val="24"/>
        </w:rPr>
        <w:t>变形</w:t>
      </w:r>
      <w:r>
        <w:rPr>
          <w:rFonts w:ascii="宋体" w:hAnsi="宋体" w:cs="宋体" w:hint="eastAsia"/>
          <w:sz w:val="24"/>
        </w:rPr>
        <w:t>。保障客户对产品堆码性能的要求。</w:t>
      </w:r>
    </w:p>
    <w:p w:rsidR="002876E2" w:rsidRDefault="005E4134">
      <w:pPr>
        <w:spacing w:line="360" w:lineRule="auto"/>
        <w:ind w:firstLine="465"/>
        <w:rPr>
          <w:rFonts w:ascii="宋体" w:hAnsi="宋体" w:cs="宋体"/>
          <w:sz w:val="24"/>
        </w:rPr>
      </w:pPr>
      <w:r>
        <w:rPr>
          <w:rFonts w:ascii="宋体" w:hAnsi="宋体" w:cs="宋体" w:hint="eastAsia"/>
          <w:sz w:val="24"/>
        </w:rPr>
        <w:t>4）跌落高度</w:t>
      </w:r>
    </w:p>
    <w:p w:rsidR="002876E2" w:rsidRDefault="005E4134">
      <w:pPr>
        <w:spacing w:line="360" w:lineRule="auto"/>
        <w:ind w:firstLine="465"/>
        <w:rPr>
          <w:rFonts w:ascii="宋体" w:hAnsi="宋体" w:cs="宋体"/>
          <w:sz w:val="24"/>
        </w:rPr>
      </w:pPr>
      <w:r>
        <w:rPr>
          <w:rFonts w:ascii="宋体" w:hAnsi="宋体" w:cs="宋体" w:hint="eastAsia"/>
          <w:sz w:val="24"/>
        </w:rPr>
        <w:t>跌落高度对标国家标准危险级别Ⅰ包装的要求，</w:t>
      </w:r>
      <w:r>
        <w:rPr>
          <w:rFonts w:ascii="宋体" w:hAnsi="宋体" w:cs="宋体"/>
          <w:sz w:val="24"/>
        </w:rPr>
        <w:t>与</w:t>
      </w:r>
      <w:r>
        <w:rPr>
          <w:rFonts w:ascii="宋体" w:hAnsi="宋体" w:cs="宋体" w:hint="eastAsia"/>
          <w:sz w:val="24"/>
        </w:rPr>
        <w:t>国际海运危险货物规则</w:t>
      </w:r>
      <w:proofErr w:type="gramStart"/>
      <w:r>
        <w:rPr>
          <w:rFonts w:ascii="宋体" w:hAnsi="宋体" w:cs="宋体" w:hint="eastAsia"/>
          <w:sz w:val="24"/>
        </w:rPr>
        <w:t>Ⅰ</w:t>
      </w:r>
      <w:r>
        <w:rPr>
          <w:rFonts w:ascii="宋体" w:hAnsi="宋体" w:cs="宋体"/>
          <w:sz w:val="24"/>
        </w:rPr>
        <w:t>罐要求</w:t>
      </w:r>
      <w:proofErr w:type="gramEnd"/>
      <w:r>
        <w:rPr>
          <w:rFonts w:ascii="宋体" w:hAnsi="宋体" w:cs="宋体" w:hint="eastAsia"/>
          <w:sz w:val="24"/>
        </w:rPr>
        <w:t>同</w:t>
      </w:r>
      <w:r>
        <w:rPr>
          <w:rFonts w:ascii="宋体" w:hAnsi="宋体" w:cs="宋体"/>
          <w:sz w:val="24"/>
        </w:rPr>
        <w:t>水平</w:t>
      </w:r>
      <w:r>
        <w:rPr>
          <w:rFonts w:ascii="宋体" w:hAnsi="宋体" w:cs="宋体" w:hint="eastAsia"/>
          <w:sz w:val="24"/>
        </w:rPr>
        <w:t>。</w:t>
      </w:r>
    </w:p>
    <w:p w:rsidR="002876E2" w:rsidRDefault="005E4134">
      <w:pPr>
        <w:spacing w:line="360" w:lineRule="auto"/>
        <w:ind w:firstLine="465"/>
        <w:rPr>
          <w:rFonts w:ascii="宋体" w:hAnsi="宋体" w:cs="宋体"/>
          <w:sz w:val="24"/>
        </w:rPr>
      </w:pPr>
      <w:r>
        <w:rPr>
          <w:rFonts w:ascii="宋体" w:hAnsi="宋体" w:cs="宋体" w:hint="eastAsia"/>
          <w:sz w:val="24"/>
        </w:rPr>
        <w:t>5)增加手柄强度测试</w:t>
      </w:r>
    </w:p>
    <w:p w:rsidR="002876E2" w:rsidRDefault="005E4134">
      <w:pPr>
        <w:spacing w:line="360" w:lineRule="auto"/>
        <w:ind w:firstLine="465"/>
        <w:rPr>
          <w:rFonts w:ascii="宋体" w:hAnsi="宋体" w:cs="宋体"/>
          <w:sz w:val="24"/>
        </w:rPr>
      </w:pPr>
      <w:r>
        <w:rPr>
          <w:rFonts w:ascii="宋体" w:hAnsi="宋体" w:cs="宋体" w:hint="eastAsia"/>
          <w:sz w:val="24"/>
        </w:rPr>
        <w:t>行业标准中只对规定了静拉力，实际使用中存在着受冲击载荷的可能性，故参考了澳洲标准，增加手柄强度抗冲击性能试验。</w:t>
      </w:r>
    </w:p>
    <w:p w:rsidR="002876E2" w:rsidRDefault="005E4134">
      <w:pPr>
        <w:spacing w:line="360" w:lineRule="auto"/>
        <w:ind w:firstLine="465"/>
        <w:rPr>
          <w:rFonts w:ascii="宋体" w:hAnsi="宋体" w:cs="宋体"/>
          <w:sz w:val="24"/>
        </w:rPr>
      </w:pPr>
      <w:r>
        <w:rPr>
          <w:rFonts w:ascii="宋体" w:hAnsi="宋体" w:cs="宋体" w:hint="eastAsia"/>
          <w:sz w:val="24"/>
        </w:rPr>
        <w:t>具体指标对比详见下表：</w:t>
      </w:r>
    </w:p>
    <w:tbl>
      <w:tblPr>
        <w:tblW w:w="8867" w:type="dxa"/>
        <w:tblInd w:w="-552" w:type="dxa"/>
        <w:tblLayout w:type="fixed"/>
        <w:tblCellMar>
          <w:top w:w="15" w:type="dxa"/>
          <w:left w:w="15" w:type="dxa"/>
          <w:bottom w:w="15" w:type="dxa"/>
          <w:right w:w="15" w:type="dxa"/>
        </w:tblCellMar>
        <w:tblLook w:val="04A0"/>
      </w:tblPr>
      <w:tblGrid>
        <w:gridCol w:w="1418"/>
        <w:gridCol w:w="1294"/>
        <w:gridCol w:w="1080"/>
        <w:gridCol w:w="763"/>
        <w:gridCol w:w="765"/>
        <w:gridCol w:w="562"/>
        <w:gridCol w:w="1058"/>
        <w:gridCol w:w="1927"/>
      </w:tblGrid>
      <w:tr w:rsidR="002876E2">
        <w:trPr>
          <w:trHeight w:val="316"/>
        </w:trPr>
        <w:tc>
          <w:tcPr>
            <w:tcW w:w="1418" w:type="dxa"/>
            <w:vMerge w:val="restart"/>
            <w:tcBorders>
              <w:top w:val="single" w:sz="12" w:space="0" w:color="000000"/>
              <w:left w:val="single" w:sz="12" w:space="0" w:color="000000"/>
              <w:bottom w:val="single" w:sz="12" w:space="0" w:color="000000"/>
              <w:right w:val="single" w:sz="12" w:space="0" w:color="000000"/>
            </w:tcBorders>
            <w:vAlign w:val="center"/>
          </w:tcPr>
          <w:p w:rsidR="002876E2" w:rsidRDefault="005E4134">
            <w:pPr>
              <w:widowControl/>
              <w:jc w:val="center"/>
              <w:textAlignment w:val="center"/>
              <w:rPr>
                <w:rFonts w:ascii="宋体" w:hAnsi="宋体" w:cs="宋体"/>
                <w:color w:val="000000"/>
                <w:szCs w:val="21"/>
              </w:rPr>
            </w:pPr>
            <w:r>
              <w:rPr>
                <w:rFonts w:ascii="宋体" w:hAnsi="宋体" w:cs="宋体" w:hint="eastAsia"/>
                <w:color w:val="000000"/>
                <w:kern w:val="0"/>
                <w:szCs w:val="21"/>
              </w:rPr>
              <w:t>项目</w:t>
            </w:r>
          </w:p>
        </w:tc>
        <w:tc>
          <w:tcPr>
            <w:tcW w:w="1294" w:type="dxa"/>
            <w:vMerge w:val="restart"/>
            <w:tcBorders>
              <w:top w:val="single" w:sz="12" w:space="0" w:color="000000"/>
              <w:right w:val="single" w:sz="12" w:space="0" w:color="000000"/>
            </w:tcBorders>
            <w:vAlign w:val="center"/>
          </w:tcPr>
          <w:p w:rsidR="002876E2" w:rsidRDefault="005E4134">
            <w:pPr>
              <w:widowControl/>
              <w:jc w:val="center"/>
              <w:textAlignment w:val="center"/>
              <w:rPr>
                <w:rFonts w:ascii="宋体" w:hAnsi="宋体" w:cs="宋体"/>
                <w:color w:val="000000"/>
                <w:szCs w:val="21"/>
              </w:rPr>
            </w:pPr>
            <w:r>
              <w:rPr>
                <w:rFonts w:ascii="宋体" w:hAnsi="宋体" w:cs="宋体" w:hint="eastAsia"/>
                <w:color w:val="000000"/>
                <w:kern w:val="0"/>
                <w:szCs w:val="21"/>
              </w:rPr>
              <w:t>日本KHK</w:t>
            </w:r>
          </w:p>
          <w:p w:rsidR="002876E2" w:rsidRDefault="005E4134">
            <w:pPr>
              <w:jc w:val="center"/>
              <w:textAlignment w:val="center"/>
              <w:rPr>
                <w:rFonts w:ascii="宋体" w:hAnsi="宋体" w:cs="宋体"/>
                <w:color w:val="000000"/>
                <w:szCs w:val="21"/>
              </w:rPr>
            </w:pPr>
            <w:r>
              <w:rPr>
                <w:rFonts w:ascii="宋体" w:hAnsi="宋体" w:cs="宋体" w:hint="eastAsia"/>
                <w:color w:val="000000"/>
                <w:kern w:val="0"/>
                <w:szCs w:val="21"/>
              </w:rPr>
              <w:t>标准(ガソリン携行</w:t>
            </w:r>
            <w:proofErr w:type="gramStart"/>
            <w:r>
              <w:rPr>
                <w:rFonts w:ascii="宋体" w:hAnsi="宋体" w:cs="宋体" w:hint="eastAsia"/>
                <w:color w:val="000000"/>
                <w:kern w:val="0"/>
                <w:szCs w:val="21"/>
              </w:rPr>
              <w:t>缶</w:t>
            </w:r>
            <w:proofErr w:type="gramEnd"/>
            <w:r>
              <w:rPr>
                <w:rFonts w:ascii="宋体" w:hAnsi="宋体" w:cs="宋体" w:hint="eastAsia"/>
                <w:color w:val="000000"/>
                <w:kern w:val="0"/>
                <w:szCs w:val="21"/>
              </w:rPr>
              <w:t>試験の確認基</w:t>
            </w:r>
            <w:proofErr w:type="gramStart"/>
            <w:r>
              <w:rPr>
                <w:rFonts w:ascii="宋体" w:hAnsi="宋体" w:cs="宋体" w:hint="eastAsia"/>
                <w:color w:val="000000"/>
                <w:kern w:val="0"/>
                <w:szCs w:val="21"/>
              </w:rPr>
              <w:t>準</w:t>
            </w:r>
            <w:proofErr w:type="gramEnd"/>
            <w:r>
              <w:rPr>
                <w:rFonts w:ascii="宋体" w:hAnsi="宋体" w:cs="宋体" w:hint="eastAsia"/>
                <w:color w:val="000000"/>
                <w:kern w:val="0"/>
                <w:szCs w:val="21"/>
              </w:rPr>
              <w:t>）</w:t>
            </w:r>
          </w:p>
        </w:tc>
        <w:tc>
          <w:tcPr>
            <w:tcW w:w="1080" w:type="dxa"/>
            <w:vMerge w:val="restart"/>
            <w:tcBorders>
              <w:top w:val="single" w:sz="12" w:space="0" w:color="000000"/>
              <w:right w:val="single" w:sz="12" w:space="0" w:color="000000"/>
            </w:tcBorders>
            <w:vAlign w:val="center"/>
          </w:tcPr>
          <w:p w:rsidR="002876E2" w:rsidRDefault="005E4134">
            <w:pPr>
              <w:widowControl/>
              <w:jc w:val="center"/>
              <w:textAlignment w:val="center"/>
              <w:rPr>
                <w:rFonts w:ascii="宋体" w:hAnsi="宋体" w:cs="宋体"/>
                <w:color w:val="000000"/>
                <w:szCs w:val="21"/>
              </w:rPr>
            </w:pPr>
            <w:r>
              <w:rPr>
                <w:rFonts w:ascii="宋体" w:hAnsi="宋体" w:cs="宋体" w:hint="eastAsia"/>
                <w:color w:val="000000"/>
                <w:kern w:val="0"/>
                <w:szCs w:val="21"/>
              </w:rPr>
              <w:t>澳洲</w:t>
            </w:r>
          </w:p>
          <w:p w:rsidR="002876E2" w:rsidRDefault="005E4134">
            <w:pPr>
              <w:jc w:val="center"/>
              <w:textAlignment w:val="center"/>
              <w:rPr>
                <w:rFonts w:ascii="宋体" w:hAnsi="宋体" w:cs="宋体"/>
                <w:color w:val="000000"/>
                <w:szCs w:val="21"/>
              </w:rPr>
            </w:pPr>
            <w:r>
              <w:rPr>
                <w:rFonts w:ascii="宋体" w:hAnsi="宋体" w:cs="宋体" w:hint="eastAsia"/>
                <w:color w:val="000000"/>
                <w:kern w:val="0"/>
                <w:szCs w:val="21"/>
              </w:rPr>
              <w:t>标准（</w:t>
            </w:r>
            <w:r>
              <w:rPr>
                <w:rFonts w:ascii="宋体" w:hAnsi="宋体" w:cs="宋体" w:hint="eastAsia"/>
                <w:szCs w:val="21"/>
              </w:rPr>
              <w:t>AS/NZS 2906：2001</w:t>
            </w:r>
            <w:r>
              <w:rPr>
                <w:rFonts w:ascii="宋体" w:hAnsi="宋体" w:cs="宋体" w:hint="eastAsia"/>
                <w:color w:val="000000"/>
                <w:kern w:val="0"/>
                <w:szCs w:val="21"/>
              </w:rPr>
              <w:t>）</w:t>
            </w:r>
          </w:p>
        </w:tc>
        <w:tc>
          <w:tcPr>
            <w:tcW w:w="1528" w:type="dxa"/>
            <w:gridSpan w:val="2"/>
            <w:vMerge w:val="restart"/>
            <w:tcBorders>
              <w:top w:val="single" w:sz="12" w:space="0" w:color="000000"/>
              <w:bottom w:val="single" w:sz="12" w:space="0" w:color="000000"/>
              <w:right w:val="single" w:sz="12" w:space="0" w:color="000000"/>
            </w:tcBorders>
          </w:tcPr>
          <w:p w:rsidR="002876E2" w:rsidRDefault="005E4134">
            <w:pPr>
              <w:widowControl/>
              <w:jc w:val="center"/>
              <w:textAlignment w:val="top"/>
              <w:rPr>
                <w:rFonts w:ascii="宋体" w:hAnsi="宋体" w:cs="宋体"/>
                <w:color w:val="000000"/>
                <w:szCs w:val="21"/>
              </w:rPr>
            </w:pPr>
            <w:r>
              <w:rPr>
                <w:rFonts w:ascii="宋体" w:hAnsi="宋体" w:cs="宋体" w:hint="eastAsia"/>
                <w:color w:val="000000"/>
                <w:kern w:val="0"/>
                <w:szCs w:val="21"/>
              </w:rPr>
              <w:t>国际海运危险货物规则</w:t>
            </w:r>
          </w:p>
        </w:tc>
        <w:tc>
          <w:tcPr>
            <w:tcW w:w="1620" w:type="dxa"/>
            <w:gridSpan w:val="2"/>
            <w:vMerge w:val="restart"/>
            <w:tcBorders>
              <w:top w:val="single" w:sz="12" w:space="0" w:color="000000"/>
              <w:bottom w:val="single" w:sz="12" w:space="0" w:color="000000"/>
              <w:right w:val="single" w:sz="12" w:space="0" w:color="000000"/>
            </w:tcBorders>
            <w:vAlign w:val="center"/>
          </w:tcPr>
          <w:p w:rsidR="002876E2" w:rsidRDefault="005E4134">
            <w:pPr>
              <w:widowControl/>
              <w:jc w:val="center"/>
              <w:textAlignment w:val="center"/>
              <w:rPr>
                <w:rFonts w:ascii="宋体" w:hAnsi="宋体" w:cs="宋体"/>
                <w:color w:val="000000"/>
                <w:szCs w:val="21"/>
              </w:rPr>
            </w:pPr>
            <w:r>
              <w:rPr>
                <w:rFonts w:ascii="宋体" w:hAnsi="宋体" w:cs="宋体" w:hint="eastAsia"/>
                <w:color w:val="000000"/>
                <w:kern w:val="0"/>
                <w:szCs w:val="21"/>
              </w:rPr>
              <w:t>BB/T0064</w:t>
            </w:r>
          </w:p>
        </w:tc>
        <w:tc>
          <w:tcPr>
            <w:tcW w:w="1927" w:type="dxa"/>
            <w:tcBorders>
              <w:top w:val="single" w:sz="12" w:space="0" w:color="000000"/>
              <w:right w:val="single" w:sz="12" w:space="0" w:color="000000"/>
            </w:tcBorders>
          </w:tcPr>
          <w:p w:rsidR="002876E2" w:rsidRDefault="002876E2">
            <w:pPr>
              <w:jc w:val="center"/>
              <w:rPr>
                <w:rFonts w:ascii="宋体" w:hAnsi="宋体" w:cs="宋体"/>
                <w:color w:val="000000"/>
                <w:szCs w:val="21"/>
              </w:rPr>
            </w:pPr>
          </w:p>
        </w:tc>
      </w:tr>
      <w:tr w:rsidR="002876E2">
        <w:trPr>
          <w:trHeight w:val="345"/>
        </w:trPr>
        <w:tc>
          <w:tcPr>
            <w:tcW w:w="1418" w:type="dxa"/>
            <w:vMerge/>
            <w:tcBorders>
              <w:top w:val="single" w:sz="12" w:space="0" w:color="000000"/>
              <w:left w:val="single" w:sz="12" w:space="0" w:color="000000"/>
              <w:bottom w:val="single" w:sz="12" w:space="0" w:color="000000"/>
              <w:right w:val="single" w:sz="12" w:space="0" w:color="000000"/>
            </w:tcBorders>
            <w:vAlign w:val="center"/>
          </w:tcPr>
          <w:p w:rsidR="002876E2" w:rsidRDefault="002876E2">
            <w:pPr>
              <w:rPr>
                <w:rFonts w:ascii="宋体" w:hAnsi="宋体" w:cs="宋体"/>
                <w:color w:val="000000"/>
                <w:szCs w:val="21"/>
              </w:rPr>
            </w:pPr>
          </w:p>
        </w:tc>
        <w:tc>
          <w:tcPr>
            <w:tcW w:w="1294" w:type="dxa"/>
            <w:vMerge/>
            <w:tcBorders>
              <w:right w:val="single" w:sz="12" w:space="0" w:color="000000"/>
            </w:tcBorders>
            <w:vAlign w:val="center"/>
          </w:tcPr>
          <w:p w:rsidR="002876E2" w:rsidRDefault="002876E2">
            <w:pPr>
              <w:widowControl/>
              <w:jc w:val="center"/>
              <w:textAlignment w:val="center"/>
              <w:rPr>
                <w:rFonts w:ascii="宋体" w:hAnsi="宋体" w:cs="宋体"/>
                <w:color w:val="000000"/>
                <w:szCs w:val="21"/>
              </w:rPr>
            </w:pPr>
          </w:p>
        </w:tc>
        <w:tc>
          <w:tcPr>
            <w:tcW w:w="1080" w:type="dxa"/>
            <w:vMerge/>
            <w:tcBorders>
              <w:right w:val="single" w:sz="12" w:space="0" w:color="000000"/>
            </w:tcBorders>
            <w:vAlign w:val="center"/>
          </w:tcPr>
          <w:p w:rsidR="002876E2" w:rsidRDefault="002876E2">
            <w:pPr>
              <w:widowControl/>
              <w:jc w:val="center"/>
              <w:textAlignment w:val="center"/>
              <w:rPr>
                <w:rFonts w:ascii="宋体" w:hAnsi="宋体" w:cs="宋体"/>
                <w:color w:val="000000"/>
                <w:szCs w:val="21"/>
              </w:rPr>
            </w:pPr>
          </w:p>
        </w:tc>
        <w:tc>
          <w:tcPr>
            <w:tcW w:w="1528" w:type="dxa"/>
            <w:gridSpan w:val="2"/>
            <w:vMerge/>
            <w:tcBorders>
              <w:top w:val="single" w:sz="12" w:space="0" w:color="000000"/>
              <w:bottom w:val="single" w:sz="12" w:space="0" w:color="000000"/>
              <w:right w:val="single" w:sz="12" w:space="0" w:color="000000"/>
            </w:tcBorders>
          </w:tcPr>
          <w:p w:rsidR="002876E2" w:rsidRDefault="002876E2">
            <w:pPr>
              <w:jc w:val="center"/>
              <w:rPr>
                <w:rFonts w:ascii="宋体" w:hAnsi="宋体" w:cs="宋体"/>
                <w:color w:val="000000"/>
                <w:szCs w:val="21"/>
              </w:rPr>
            </w:pPr>
          </w:p>
        </w:tc>
        <w:tc>
          <w:tcPr>
            <w:tcW w:w="1620" w:type="dxa"/>
            <w:gridSpan w:val="2"/>
            <w:vMerge/>
            <w:tcBorders>
              <w:top w:val="single" w:sz="12" w:space="0" w:color="000000"/>
              <w:bottom w:val="single" w:sz="12" w:space="0" w:color="000000"/>
              <w:right w:val="single" w:sz="12" w:space="0" w:color="000000"/>
            </w:tcBorders>
            <w:vAlign w:val="center"/>
          </w:tcPr>
          <w:p w:rsidR="002876E2" w:rsidRDefault="002876E2">
            <w:pPr>
              <w:jc w:val="center"/>
              <w:rPr>
                <w:rFonts w:ascii="宋体" w:hAnsi="宋体" w:cs="宋体"/>
                <w:color w:val="000000"/>
                <w:szCs w:val="21"/>
              </w:rPr>
            </w:pPr>
          </w:p>
        </w:tc>
        <w:tc>
          <w:tcPr>
            <w:tcW w:w="1927" w:type="dxa"/>
            <w:vMerge w:val="restart"/>
            <w:tcBorders>
              <w:right w:val="single" w:sz="12" w:space="0" w:color="000000"/>
            </w:tcBorders>
          </w:tcPr>
          <w:p w:rsidR="002876E2" w:rsidRDefault="005E4134">
            <w:pPr>
              <w:widowControl/>
              <w:textAlignment w:val="top"/>
              <w:rPr>
                <w:rFonts w:ascii="宋体" w:hAnsi="宋体" w:cs="宋体"/>
                <w:color w:val="000000"/>
                <w:szCs w:val="21"/>
              </w:rPr>
            </w:pPr>
            <w:r>
              <w:rPr>
                <w:rFonts w:ascii="宋体" w:hAnsi="宋体" w:cs="宋体" w:hint="eastAsia"/>
                <w:color w:val="000000"/>
                <w:kern w:val="0"/>
                <w:szCs w:val="21"/>
              </w:rPr>
              <w:t>“浙江制造”标准</w:t>
            </w:r>
          </w:p>
        </w:tc>
      </w:tr>
      <w:tr w:rsidR="002876E2">
        <w:trPr>
          <w:trHeight w:val="316"/>
        </w:trPr>
        <w:tc>
          <w:tcPr>
            <w:tcW w:w="1418" w:type="dxa"/>
            <w:vMerge/>
            <w:tcBorders>
              <w:top w:val="single" w:sz="12" w:space="0" w:color="000000"/>
              <w:left w:val="single" w:sz="12" w:space="0" w:color="000000"/>
              <w:bottom w:val="single" w:sz="12" w:space="0" w:color="000000"/>
              <w:right w:val="single" w:sz="12" w:space="0" w:color="000000"/>
            </w:tcBorders>
            <w:vAlign w:val="center"/>
          </w:tcPr>
          <w:p w:rsidR="002876E2" w:rsidRDefault="002876E2">
            <w:pPr>
              <w:rPr>
                <w:rFonts w:ascii="宋体" w:hAnsi="宋体" w:cs="宋体"/>
                <w:color w:val="000000"/>
                <w:szCs w:val="21"/>
              </w:rPr>
            </w:pPr>
          </w:p>
        </w:tc>
        <w:tc>
          <w:tcPr>
            <w:tcW w:w="1294" w:type="dxa"/>
            <w:vMerge/>
            <w:tcBorders>
              <w:bottom w:val="single" w:sz="12" w:space="0" w:color="000000"/>
              <w:right w:val="single" w:sz="12" w:space="0" w:color="000000"/>
            </w:tcBorders>
            <w:vAlign w:val="center"/>
          </w:tcPr>
          <w:p w:rsidR="002876E2" w:rsidRDefault="002876E2">
            <w:pPr>
              <w:rPr>
                <w:rFonts w:ascii="宋体" w:hAnsi="宋体" w:cs="宋体"/>
                <w:color w:val="000000"/>
                <w:sz w:val="24"/>
              </w:rPr>
            </w:pPr>
          </w:p>
        </w:tc>
        <w:tc>
          <w:tcPr>
            <w:tcW w:w="1080" w:type="dxa"/>
            <w:vMerge/>
            <w:tcBorders>
              <w:bottom w:val="single" w:sz="12" w:space="0" w:color="000000"/>
              <w:right w:val="single" w:sz="12" w:space="0" w:color="000000"/>
            </w:tcBorders>
            <w:vAlign w:val="center"/>
          </w:tcPr>
          <w:p w:rsidR="002876E2" w:rsidRDefault="002876E2">
            <w:pPr>
              <w:rPr>
                <w:rFonts w:ascii="宋体" w:hAnsi="宋体" w:cs="宋体"/>
                <w:color w:val="000000"/>
                <w:sz w:val="24"/>
              </w:rPr>
            </w:pPr>
          </w:p>
        </w:tc>
        <w:tc>
          <w:tcPr>
            <w:tcW w:w="763" w:type="dxa"/>
            <w:tcBorders>
              <w:bottom w:val="single" w:sz="12" w:space="0" w:color="000000"/>
              <w:right w:val="single" w:sz="4" w:space="0" w:color="auto"/>
            </w:tcBorders>
          </w:tcPr>
          <w:p w:rsidR="002876E2" w:rsidRDefault="005E4134">
            <w:pPr>
              <w:widowControl/>
              <w:jc w:val="center"/>
              <w:textAlignment w:val="top"/>
              <w:rPr>
                <w:rFonts w:ascii="宋体" w:hAnsi="宋体" w:cs="宋体"/>
                <w:color w:val="000000"/>
                <w:szCs w:val="21"/>
              </w:rPr>
            </w:pPr>
            <w:r>
              <w:rPr>
                <w:rFonts w:ascii="宋体" w:hAnsi="宋体" w:cs="宋体" w:hint="eastAsia"/>
                <w:color w:val="000000"/>
                <w:kern w:val="0"/>
                <w:szCs w:val="21"/>
              </w:rPr>
              <w:t>I类</w:t>
            </w:r>
          </w:p>
        </w:tc>
        <w:tc>
          <w:tcPr>
            <w:tcW w:w="765" w:type="dxa"/>
            <w:tcBorders>
              <w:left w:val="single" w:sz="4" w:space="0" w:color="auto"/>
              <w:bottom w:val="single" w:sz="12" w:space="0" w:color="000000"/>
              <w:right w:val="single" w:sz="12" w:space="0" w:color="000000"/>
            </w:tcBorders>
          </w:tcPr>
          <w:p w:rsidR="002876E2" w:rsidRDefault="005E4134">
            <w:pPr>
              <w:widowControl/>
              <w:jc w:val="center"/>
              <w:textAlignment w:val="top"/>
              <w:rPr>
                <w:rFonts w:ascii="宋体" w:hAnsi="宋体" w:cs="宋体"/>
                <w:color w:val="000000"/>
                <w:szCs w:val="21"/>
              </w:rPr>
            </w:pPr>
            <w:r>
              <w:rPr>
                <w:rFonts w:ascii="宋体" w:hAnsi="宋体" w:cs="宋体" w:hint="eastAsia"/>
                <w:color w:val="000000"/>
                <w:kern w:val="0"/>
                <w:szCs w:val="21"/>
              </w:rPr>
              <w:t>Ⅱ类</w:t>
            </w:r>
          </w:p>
        </w:tc>
        <w:tc>
          <w:tcPr>
            <w:tcW w:w="562" w:type="dxa"/>
            <w:tcBorders>
              <w:bottom w:val="single" w:sz="12" w:space="0" w:color="000000"/>
              <w:right w:val="single" w:sz="4" w:space="0" w:color="auto"/>
            </w:tcBorders>
          </w:tcPr>
          <w:p w:rsidR="002876E2" w:rsidRDefault="005E4134">
            <w:pPr>
              <w:widowControl/>
              <w:jc w:val="center"/>
              <w:textAlignment w:val="top"/>
              <w:rPr>
                <w:rFonts w:ascii="宋体" w:hAnsi="宋体" w:cs="宋体"/>
                <w:color w:val="000000"/>
                <w:szCs w:val="21"/>
              </w:rPr>
            </w:pPr>
            <w:r>
              <w:rPr>
                <w:rFonts w:ascii="宋体" w:hAnsi="宋体" w:cs="宋体" w:hint="eastAsia"/>
                <w:color w:val="000000"/>
                <w:kern w:val="0"/>
                <w:szCs w:val="21"/>
              </w:rPr>
              <w:t>I类</w:t>
            </w:r>
          </w:p>
        </w:tc>
        <w:tc>
          <w:tcPr>
            <w:tcW w:w="1058" w:type="dxa"/>
            <w:tcBorders>
              <w:left w:val="single" w:sz="4" w:space="0" w:color="auto"/>
              <w:bottom w:val="single" w:sz="12" w:space="0" w:color="000000"/>
              <w:right w:val="single" w:sz="12" w:space="0" w:color="000000"/>
            </w:tcBorders>
          </w:tcPr>
          <w:p w:rsidR="002876E2" w:rsidRDefault="005E4134">
            <w:pPr>
              <w:widowControl/>
              <w:jc w:val="center"/>
              <w:textAlignment w:val="top"/>
              <w:rPr>
                <w:rFonts w:ascii="宋体" w:hAnsi="宋体" w:cs="宋体"/>
                <w:color w:val="000000"/>
                <w:szCs w:val="21"/>
              </w:rPr>
            </w:pPr>
            <w:r>
              <w:rPr>
                <w:rFonts w:ascii="宋体" w:hAnsi="宋体" w:cs="宋体" w:hint="eastAsia"/>
                <w:color w:val="000000"/>
                <w:szCs w:val="21"/>
              </w:rPr>
              <w:t>Ⅱ类</w:t>
            </w:r>
          </w:p>
        </w:tc>
        <w:tc>
          <w:tcPr>
            <w:tcW w:w="1927" w:type="dxa"/>
            <w:vMerge/>
            <w:tcBorders>
              <w:bottom w:val="single" w:sz="12" w:space="0" w:color="000000"/>
              <w:right w:val="single" w:sz="12" w:space="0" w:color="000000"/>
            </w:tcBorders>
          </w:tcPr>
          <w:p w:rsidR="002876E2" w:rsidRDefault="002876E2">
            <w:pPr>
              <w:jc w:val="center"/>
              <w:rPr>
                <w:rFonts w:ascii="宋体" w:hAnsi="宋体" w:cs="宋体"/>
                <w:color w:val="000000"/>
                <w:szCs w:val="21"/>
              </w:rPr>
            </w:pPr>
          </w:p>
        </w:tc>
      </w:tr>
      <w:tr w:rsidR="002876E2">
        <w:trPr>
          <w:trHeight w:val="400"/>
        </w:trPr>
        <w:tc>
          <w:tcPr>
            <w:tcW w:w="1418" w:type="dxa"/>
            <w:tcBorders>
              <w:left w:val="single" w:sz="12" w:space="0" w:color="000000"/>
              <w:bottom w:val="single" w:sz="12" w:space="0" w:color="000000"/>
              <w:right w:val="single" w:sz="12" w:space="0" w:color="000000"/>
            </w:tcBorders>
            <w:vAlign w:val="center"/>
          </w:tcPr>
          <w:p w:rsidR="002876E2" w:rsidRDefault="005E4134">
            <w:pPr>
              <w:widowControl/>
              <w:textAlignment w:val="center"/>
              <w:rPr>
                <w:rFonts w:ascii="宋体" w:hAnsi="宋体" w:cs="宋体"/>
                <w:color w:val="000000"/>
                <w:szCs w:val="21"/>
              </w:rPr>
            </w:pPr>
            <w:r>
              <w:rPr>
                <w:rFonts w:ascii="宋体" w:hAnsi="宋体" w:cs="宋体" w:hint="eastAsia"/>
                <w:color w:val="000000"/>
                <w:kern w:val="0"/>
                <w:szCs w:val="21"/>
              </w:rPr>
              <w:t>气密性能</w:t>
            </w:r>
            <w:proofErr w:type="spellStart"/>
            <w:r>
              <w:rPr>
                <w:rFonts w:ascii="宋体" w:hAnsi="宋体" w:cs="宋体" w:hint="eastAsia"/>
                <w:color w:val="000000"/>
                <w:kern w:val="0"/>
                <w:szCs w:val="21"/>
              </w:rPr>
              <w:t>kPa</w:t>
            </w:r>
            <w:proofErr w:type="spellEnd"/>
          </w:p>
        </w:tc>
        <w:tc>
          <w:tcPr>
            <w:tcW w:w="1294" w:type="dxa"/>
            <w:tcBorders>
              <w:bottom w:val="single" w:sz="12" w:space="0" w:color="000000"/>
              <w:right w:val="single" w:sz="12" w:space="0" w:color="000000"/>
            </w:tcBorders>
            <w:vAlign w:val="center"/>
          </w:tcPr>
          <w:p w:rsidR="002876E2" w:rsidRDefault="005E4134">
            <w:pPr>
              <w:widowControl/>
              <w:jc w:val="center"/>
              <w:textAlignment w:val="center"/>
              <w:rPr>
                <w:rFonts w:ascii="宋体" w:hAnsi="宋体" w:cs="宋体"/>
                <w:color w:val="000000"/>
                <w:szCs w:val="21"/>
              </w:rPr>
            </w:pPr>
            <w:r>
              <w:rPr>
                <w:rFonts w:ascii="宋体" w:hAnsi="宋体" w:cs="宋体" w:hint="eastAsia"/>
                <w:color w:val="000000"/>
                <w:kern w:val="0"/>
                <w:szCs w:val="21"/>
              </w:rPr>
              <w:t>49</w:t>
            </w:r>
          </w:p>
        </w:tc>
        <w:tc>
          <w:tcPr>
            <w:tcW w:w="1080" w:type="dxa"/>
            <w:tcBorders>
              <w:bottom w:val="single" w:sz="12" w:space="0" w:color="000000"/>
              <w:right w:val="single" w:sz="12" w:space="0" w:color="000000"/>
            </w:tcBorders>
            <w:vAlign w:val="center"/>
          </w:tcPr>
          <w:p w:rsidR="002876E2" w:rsidRDefault="005E4134">
            <w:pPr>
              <w:widowControl/>
              <w:jc w:val="center"/>
              <w:textAlignment w:val="center"/>
              <w:rPr>
                <w:rFonts w:ascii="宋体" w:hAnsi="宋体" w:cs="宋体"/>
                <w:color w:val="000000"/>
                <w:szCs w:val="21"/>
              </w:rPr>
            </w:pPr>
            <w:r>
              <w:rPr>
                <w:rFonts w:ascii="宋体" w:hAnsi="宋体" w:cs="宋体" w:hint="eastAsia"/>
                <w:color w:val="000000"/>
                <w:kern w:val="0"/>
                <w:szCs w:val="21"/>
              </w:rPr>
              <w:t>25</w:t>
            </w:r>
          </w:p>
        </w:tc>
        <w:tc>
          <w:tcPr>
            <w:tcW w:w="763" w:type="dxa"/>
            <w:tcBorders>
              <w:bottom w:val="single" w:sz="12" w:space="0" w:color="000000"/>
              <w:right w:val="single" w:sz="4" w:space="0" w:color="auto"/>
            </w:tcBorders>
            <w:vAlign w:val="center"/>
          </w:tcPr>
          <w:p w:rsidR="002876E2" w:rsidRDefault="005E4134">
            <w:pPr>
              <w:widowControl/>
              <w:jc w:val="center"/>
              <w:textAlignment w:val="center"/>
              <w:rPr>
                <w:rFonts w:ascii="宋体" w:hAnsi="宋体" w:cs="宋体"/>
                <w:color w:val="000000"/>
                <w:szCs w:val="21"/>
              </w:rPr>
            </w:pPr>
            <w:r>
              <w:rPr>
                <w:rFonts w:ascii="宋体" w:hAnsi="宋体" w:cs="宋体" w:hint="eastAsia"/>
                <w:color w:val="000000"/>
                <w:kern w:val="0"/>
                <w:szCs w:val="21"/>
              </w:rPr>
              <w:t>30</w:t>
            </w:r>
          </w:p>
        </w:tc>
        <w:tc>
          <w:tcPr>
            <w:tcW w:w="765" w:type="dxa"/>
            <w:tcBorders>
              <w:left w:val="single" w:sz="4" w:space="0" w:color="auto"/>
              <w:bottom w:val="single" w:sz="12" w:space="0" w:color="000000"/>
              <w:right w:val="single" w:sz="12" w:space="0" w:color="000000"/>
            </w:tcBorders>
            <w:vAlign w:val="center"/>
          </w:tcPr>
          <w:p w:rsidR="002876E2" w:rsidRDefault="005E4134">
            <w:pPr>
              <w:widowControl/>
              <w:jc w:val="center"/>
              <w:textAlignment w:val="center"/>
              <w:rPr>
                <w:rFonts w:ascii="宋体" w:hAnsi="宋体" w:cs="宋体"/>
                <w:color w:val="000000"/>
                <w:szCs w:val="21"/>
              </w:rPr>
            </w:pPr>
            <w:r>
              <w:rPr>
                <w:rFonts w:ascii="宋体" w:hAnsi="宋体" w:cs="宋体" w:hint="eastAsia"/>
                <w:color w:val="000000"/>
                <w:szCs w:val="21"/>
              </w:rPr>
              <w:t>20</w:t>
            </w:r>
          </w:p>
        </w:tc>
        <w:tc>
          <w:tcPr>
            <w:tcW w:w="562" w:type="dxa"/>
            <w:tcBorders>
              <w:bottom w:val="single" w:sz="12" w:space="0" w:color="000000"/>
              <w:right w:val="single" w:sz="4" w:space="0" w:color="auto"/>
            </w:tcBorders>
            <w:vAlign w:val="center"/>
          </w:tcPr>
          <w:p w:rsidR="002876E2" w:rsidRDefault="005E4134">
            <w:pPr>
              <w:widowControl/>
              <w:jc w:val="center"/>
              <w:textAlignment w:val="center"/>
              <w:rPr>
                <w:rFonts w:ascii="宋体" w:hAnsi="宋体" w:cs="宋体"/>
                <w:color w:val="000000"/>
                <w:szCs w:val="21"/>
              </w:rPr>
            </w:pPr>
            <w:r>
              <w:rPr>
                <w:rFonts w:ascii="宋体" w:hAnsi="宋体" w:cs="宋体" w:hint="eastAsia"/>
                <w:color w:val="000000"/>
                <w:kern w:val="0"/>
                <w:szCs w:val="21"/>
              </w:rPr>
              <w:t>30</w:t>
            </w:r>
          </w:p>
        </w:tc>
        <w:tc>
          <w:tcPr>
            <w:tcW w:w="1058" w:type="dxa"/>
            <w:tcBorders>
              <w:left w:val="single" w:sz="4" w:space="0" w:color="auto"/>
              <w:bottom w:val="single" w:sz="12" w:space="0" w:color="000000"/>
              <w:right w:val="single" w:sz="12" w:space="0" w:color="000000"/>
            </w:tcBorders>
            <w:vAlign w:val="center"/>
          </w:tcPr>
          <w:p w:rsidR="002876E2" w:rsidRDefault="005E4134">
            <w:pPr>
              <w:widowControl/>
              <w:jc w:val="center"/>
              <w:textAlignment w:val="center"/>
              <w:rPr>
                <w:rFonts w:ascii="宋体" w:hAnsi="宋体" w:cs="宋体"/>
                <w:color w:val="000000"/>
                <w:szCs w:val="21"/>
              </w:rPr>
            </w:pPr>
            <w:r>
              <w:rPr>
                <w:rFonts w:ascii="宋体" w:hAnsi="宋体" w:cs="宋体" w:hint="eastAsia"/>
                <w:color w:val="000000"/>
                <w:szCs w:val="21"/>
              </w:rPr>
              <w:t>20</w:t>
            </w:r>
          </w:p>
        </w:tc>
        <w:tc>
          <w:tcPr>
            <w:tcW w:w="1927" w:type="dxa"/>
            <w:tcBorders>
              <w:bottom w:val="single" w:sz="12" w:space="0" w:color="000000"/>
              <w:right w:val="single" w:sz="12" w:space="0" w:color="000000"/>
            </w:tcBorders>
            <w:vAlign w:val="center"/>
          </w:tcPr>
          <w:p w:rsidR="002876E2" w:rsidRDefault="005E4134">
            <w:pPr>
              <w:widowControl/>
              <w:jc w:val="center"/>
              <w:textAlignment w:val="center"/>
              <w:rPr>
                <w:rFonts w:ascii="宋体" w:hAnsi="宋体" w:cs="宋体"/>
                <w:color w:val="000000"/>
                <w:szCs w:val="21"/>
              </w:rPr>
            </w:pPr>
            <w:r>
              <w:rPr>
                <w:rFonts w:ascii="宋体" w:hAnsi="宋体" w:cs="宋体" w:hint="eastAsia"/>
                <w:color w:val="000000"/>
                <w:kern w:val="0"/>
                <w:szCs w:val="21"/>
              </w:rPr>
              <w:t>49</w:t>
            </w:r>
          </w:p>
        </w:tc>
      </w:tr>
      <w:tr w:rsidR="002876E2">
        <w:trPr>
          <w:trHeight w:val="450"/>
        </w:trPr>
        <w:tc>
          <w:tcPr>
            <w:tcW w:w="1418" w:type="dxa"/>
            <w:tcBorders>
              <w:left w:val="single" w:sz="12" w:space="0" w:color="000000"/>
              <w:bottom w:val="single" w:sz="12" w:space="0" w:color="000000"/>
              <w:right w:val="single" w:sz="12" w:space="0" w:color="000000"/>
            </w:tcBorders>
            <w:vAlign w:val="center"/>
          </w:tcPr>
          <w:p w:rsidR="002876E2" w:rsidRDefault="005E4134">
            <w:pPr>
              <w:widowControl/>
              <w:textAlignment w:val="center"/>
              <w:rPr>
                <w:rFonts w:ascii="宋体" w:hAnsi="宋体" w:cs="宋体"/>
                <w:color w:val="000000"/>
                <w:szCs w:val="21"/>
              </w:rPr>
            </w:pPr>
            <w:r>
              <w:rPr>
                <w:rFonts w:ascii="宋体" w:hAnsi="宋体" w:cs="宋体" w:hint="eastAsia"/>
                <w:color w:val="000000"/>
                <w:kern w:val="0"/>
                <w:szCs w:val="21"/>
              </w:rPr>
              <w:t>液压性能</w:t>
            </w:r>
            <w:proofErr w:type="spellStart"/>
            <w:r>
              <w:rPr>
                <w:rFonts w:ascii="宋体" w:hAnsi="宋体" w:cs="宋体" w:hint="eastAsia"/>
                <w:color w:val="000000"/>
                <w:kern w:val="0"/>
                <w:szCs w:val="21"/>
              </w:rPr>
              <w:t>kPa</w:t>
            </w:r>
            <w:proofErr w:type="spellEnd"/>
          </w:p>
        </w:tc>
        <w:tc>
          <w:tcPr>
            <w:tcW w:w="1294" w:type="dxa"/>
            <w:tcBorders>
              <w:bottom w:val="single" w:sz="12" w:space="0" w:color="000000"/>
              <w:right w:val="single" w:sz="12" w:space="0" w:color="000000"/>
            </w:tcBorders>
            <w:vAlign w:val="center"/>
          </w:tcPr>
          <w:p w:rsidR="002876E2" w:rsidRDefault="005E4134">
            <w:pPr>
              <w:widowControl/>
              <w:jc w:val="center"/>
              <w:textAlignment w:val="center"/>
              <w:rPr>
                <w:rFonts w:ascii="宋体" w:hAnsi="宋体" w:cs="宋体"/>
                <w:color w:val="000000"/>
                <w:szCs w:val="21"/>
              </w:rPr>
            </w:pPr>
            <w:r>
              <w:rPr>
                <w:rFonts w:ascii="宋体" w:hAnsi="宋体" w:cs="宋体" w:hint="eastAsia"/>
                <w:color w:val="000000"/>
                <w:kern w:val="0"/>
                <w:szCs w:val="21"/>
              </w:rPr>
              <w:t>250</w:t>
            </w:r>
          </w:p>
        </w:tc>
        <w:tc>
          <w:tcPr>
            <w:tcW w:w="1080" w:type="dxa"/>
            <w:tcBorders>
              <w:bottom w:val="single" w:sz="12" w:space="0" w:color="000000"/>
              <w:right w:val="single" w:sz="12" w:space="0" w:color="000000"/>
            </w:tcBorders>
            <w:vAlign w:val="center"/>
          </w:tcPr>
          <w:p w:rsidR="002876E2" w:rsidRDefault="005E4134">
            <w:pPr>
              <w:widowControl/>
              <w:jc w:val="center"/>
              <w:textAlignment w:val="center"/>
              <w:rPr>
                <w:rFonts w:ascii="宋体" w:hAnsi="宋体" w:cs="宋体"/>
                <w:color w:val="000000"/>
                <w:szCs w:val="21"/>
              </w:rPr>
            </w:pPr>
            <w:r>
              <w:rPr>
                <w:rFonts w:ascii="宋体" w:hAnsi="宋体" w:cs="宋体" w:hint="eastAsia"/>
                <w:color w:val="000000"/>
                <w:kern w:val="0"/>
                <w:szCs w:val="21"/>
              </w:rPr>
              <w:t>180</w:t>
            </w:r>
          </w:p>
        </w:tc>
        <w:tc>
          <w:tcPr>
            <w:tcW w:w="763" w:type="dxa"/>
            <w:tcBorders>
              <w:bottom w:val="single" w:sz="12" w:space="0" w:color="000000"/>
              <w:right w:val="single" w:sz="4" w:space="0" w:color="auto"/>
            </w:tcBorders>
            <w:vAlign w:val="center"/>
          </w:tcPr>
          <w:p w:rsidR="002876E2" w:rsidRDefault="005E4134">
            <w:pPr>
              <w:widowControl/>
              <w:jc w:val="center"/>
              <w:textAlignment w:val="center"/>
              <w:rPr>
                <w:rFonts w:ascii="宋体" w:hAnsi="宋体" w:cs="宋体"/>
                <w:color w:val="000000"/>
                <w:szCs w:val="21"/>
              </w:rPr>
            </w:pPr>
            <w:r>
              <w:rPr>
                <w:rFonts w:ascii="宋体" w:hAnsi="宋体" w:cs="宋体" w:hint="eastAsia"/>
                <w:color w:val="000000"/>
                <w:kern w:val="0"/>
                <w:szCs w:val="21"/>
              </w:rPr>
              <w:t>250</w:t>
            </w:r>
          </w:p>
        </w:tc>
        <w:tc>
          <w:tcPr>
            <w:tcW w:w="765" w:type="dxa"/>
            <w:tcBorders>
              <w:left w:val="single" w:sz="4" w:space="0" w:color="auto"/>
              <w:bottom w:val="single" w:sz="12" w:space="0" w:color="000000"/>
              <w:right w:val="single" w:sz="12" w:space="0" w:color="000000"/>
            </w:tcBorders>
            <w:vAlign w:val="center"/>
          </w:tcPr>
          <w:p w:rsidR="002876E2" w:rsidRDefault="005E4134">
            <w:pPr>
              <w:widowControl/>
              <w:jc w:val="center"/>
              <w:textAlignment w:val="center"/>
              <w:rPr>
                <w:rFonts w:ascii="宋体" w:hAnsi="宋体" w:cs="宋体"/>
                <w:color w:val="000000"/>
                <w:szCs w:val="21"/>
              </w:rPr>
            </w:pPr>
            <w:r>
              <w:rPr>
                <w:rFonts w:ascii="宋体" w:hAnsi="宋体" w:cs="宋体" w:hint="eastAsia"/>
                <w:color w:val="000000"/>
                <w:szCs w:val="21"/>
              </w:rPr>
              <w:t>100</w:t>
            </w:r>
          </w:p>
        </w:tc>
        <w:tc>
          <w:tcPr>
            <w:tcW w:w="562" w:type="dxa"/>
            <w:tcBorders>
              <w:bottom w:val="single" w:sz="12" w:space="0" w:color="000000"/>
              <w:right w:val="single" w:sz="4" w:space="0" w:color="auto"/>
            </w:tcBorders>
            <w:vAlign w:val="center"/>
          </w:tcPr>
          <w:p w:rsidR="002876E2" w:rsidRDefault="005E4134">
            <w:pPr>
              <w:widowControl/>
              <w:jc w:val="center"/>
              <w:textAlignment w:val="center"/>
              <w:rPr>
                <w:rFonts w:ascii="宋体" w:hAnsi="宋体" w:cs="宋体"/>
                <w:color w:val="000000"/>
                <w:szCs w:val="21"/>
              </w:rPr>
            </w:pPr>
            <w:r>
              <w:rPr>
                <w:rFonts w:ascii="宋体" w:hAnsi="宋体" w:cs="宋体" w:hint="eastAsia"/>
                <w:color w:val="000000"/>
                <w:kern w:val="0"/>
                <w:szCs w:val="21"/>
              </w:rPr>
              <w:t>250</w:t>
            </w:r>
          </w:p>
        </w:tc>
        <w:tc>
          <w:tcPr>
            <w:tcW w:w="1058" w:type="dxa"/>
            <w:tcBorders>
              <w:left w:val="single" w:sz="4" w:space="0" w:color="auto"/>
              <w:bottom w:val="single" w:sz="12" w:space="0" w:color="000000"/>
              <w:right w:val="single" w:sz="12" w:space="0" w:color="000000"/>
            </w:tcBorders>
            <w:vAlign w:val="center"/>
          </w:tcPr>
          <w:p w:rsidR="002876E2" w:rsidRDefault="005E4134">
            <w:pPr>
              <w:widowControl/>
              <w:jc w:val="center"/>
              <w:textAlignment w:val="center"/>
              <w:rPr>
                <w:rFonts w:ascii="宋体" w:hAnsi="宋体" w:cs="宋体"/>
                <w:color w:val="000000"/>
                <w:szCs w:val="21"/>
              </w:rPr>
            </w:pPr>
            <w:r>
              <w:rPr>
                <w:rFonts w:ascii="宋体" w:hAnsi="宋体" w:cs="宋体" w:hint="eastAsia"/>
                <w:color w:val="000000"/>
                <w:szCs w:val="21"/>
              </w:rPr>
              <w:t>100</w:t>
            </w:r>
          </w:p>
        </w:tc>
        <w:tc>
          <w:tcPr>
            <w:tcW w:w="1927" w:type="dxa"/>
            <w:tcBorders>
              <w:bottom w:val="single" w:sz="12" w:space="0" w:color="000000"/>
              <w:right w:val="single" w:sz="12" w:space="0" w:color="000000"/>
            </w:tcBorders>
            <w:vAlign w:val="center"/>
          </w:tcPr>
          <w:p w:rsidR="002876E2" w:rsidRDefault="005E4134">
            <w:pPr>
              <w:widowControl/>
              <w:jc w:val="center"/>
              <w:textAlignment w:val="center"/>
              <w:rPr>
                <w:rFonts w:ascii="宋体" w:hAnsi="宋体" w:cs="宋体"/>
                <w:color w:val="000000"/>
                <w:szCs w:val="21"/>
              </w:rPr>
            </w:pPr>
            <w:r>
              <w:rPr>
                <w:rFonts w:ascii="宋体" w:hAnsi="宋体" w:cs="宋体" w:hint="eastAsia"/>
                <w:color w:val="000000"/>
                <w:szCs w:val="21"/>
              </w:rPr>
              <w:t>250</w:t>
            </w:r>
          </w:p>
        </w:tc>
      </w:tr>
      <w:tr w:rsidR="002876E2">
        <w:trPr>
          <w:trHeight w:val="780"/>
        </w:trPr>
        <w:tc>
          <w:tcPr>
            <w:tcW w:w="1418" w:type="dxa"/>
            <w:tcBorders>
              <w:left w:val="single" w:sz="12" w:space="0" w:color="000000"/>
              <w:bottom w:val="single" w:sz="12" w:space="0" w:color="000000"/>
              <w:right w:val="single" w:sz="12" w:space="0" w:color="000000"/>
            </w:tcBorders>
            <w:vAlign w:val="center"/>
          </w:tcPr>
          <w:p w:rsidR="002876E2" w:rsidRDefault="005E4134">
            <w:pPr>
              <w:widowControl/>
              <w:textAlignment w:val="center"/>
              <w:rPr>
                <w:rFonts w:ascii="宋体" w:hAnsi="宋体" w:cs="宋体"/>
                <w:color w:val="000000"/>
                <w:kern w:val="0"/>
                <w:szCs w:val="21"/>
              </w:rPr>
            </w:pPr>
            <w:r>
              <w:rPr>
                <w:rFonts w:ascii="宋体" w:hAnsi="宋体" w:cs="宋体" w:hint="eastAsia"/>
                <w:color w:val="000000"/>
                <w:kern w:val="0"/>
                <w:szCs w:val="21"/>
              </w:rPr>
              <w:t>堆码性能N</w:t>
            </w:r>
          </w:p>
        </w:tc>
        <w:tc>
          <w:tcPr>
            <w:tcW w:w="1294" w:type="dxa"/>
            <w:tcBorders>
              <w:bottom w:val="single" w:sz="12" w:space="0" w:color="000000"/>
              <w:right w:val="single" w:sz="12" w:space="0" w:color="000000"/>
            </w:tcBorders>
            <w:vAlign w:val="center"/>
          </w:tcPr>
          <w:p w:rsidR="002876E2" w:rsidRDefault="002876E2">
            <w:pPr>
              <w:widowControl/>
              <w:jc w:val="center"/>
              <w:textAlignment w:val="center"/>
              <w:rPr>
                <w:rFonts w:ascii="宋体" w:hAnsi="宋体" w:cs="宋体"/>
                <w:color w:val="000000"/>
                <w:kern w:val="0"/>
                <w:szCs w:val="21"/>
              </w:rPr>
            </w:pPr>
          </w:p>
        </w:tc>
        <w:tc>
          <w:tcPr>
            <w:tcW w:w="1080" w:type="dxa"/>
            <w:tcBorders>
              <w:bottom w:val="single" w:sz="12" w:space="0" w:color="000000"/>
              <w:right w:val="single" w:sz="12" w:space="0" w:color="000000"/>
            </w:tcBorders>
            <w:vAlign w:val="center"/>
          </w:tcPr>
          <w:p w:rsidR="002876E2" w:rsidRDefault="002876E2">
            <w:pPr>
              <w:widowControl/>
              <w:jc w:val="center"/>
              <w:textAlignment w:val="center"/>
              <w:rPr>
                <w:rFonts w:ascii="宋体" w:hAnsi="宋体" w:cs="宋体"/>
                <w:color w:val="000000"/>
                <w:kern w:val="0"/>
                <w:szCs w:val="21"/>
              </w:rPr>
            </w:pPr>
          </w:p>
        </w:tc>
        <w:tc>
          <w:tcPr>
            <w:tcW w:w="763" w:type="dxa"/>
            <w:tcBorders>
              <w:bottom w:val="single" w:sz="12" w:space="0" w:color="000000"/>
              <w:right w:val="single" w:sz="4" w:space="0" w:color="auto"/>
            </w:tcBorders>
            <w:vAlign w:val="center"/>
          </w:tcPr>
          <w:p w:rsidR="002876E2" w:rsidRDefault="002876E2">
            <w:pPr>
              <w:widowControl/>
              <w:jc w:val="center"/>
              <w:textAlignment w:val="center"/>
              <w:rPr>
                <w:rFonts w:ascii="宋体" w:hAnsi="宋体" w:cs="宋体"/>
                <w:color w:val="000000"/>
                <w:kern w:val="0"/>
                <w:szCs w:val="21"/>
              </w:rPr>
            </w:pPr>
          </w:p>
        </w:tc>
        <w:tc>
          <w:tcPr>
            <w:tcW w:w="765" w:type="dxa"/>
            <w:tcBorders>
              <w:left w:val="single" w:sz="4" w:space="0" w:color="auto"/>
              <w:bottom w:val="single" w:sz="12" w:space="0" w:color="000000"/>
              <w:right w:val="single" w:sz="12" w:space="0" w:color="000000"/>
            </w:tcBorders>
            <w:vAlign w:val="center"/>
          </w:tcPr>
          <w:p w:rsidR="002876E2" w:rsidRDefault="002876E2">
            <w:pPr>
              <w:widowControl/>
              <w:jc w:val="center"/>
              <w:textAlignment w:val="center"/>
              <w:rPr>
                <w:rFonts w:ascii="宋体" w:hAnsi="宋体" w:cs="宋体"/>
                <w:color w:val="000000"/>
                <w:szCs w:val="21"/>
              </w:rPr>
            </w:pPr>
          </w:p>
        </w:tc>
        <w:tc>
          <w:tcPr>
            <w:tcW w:w="1620" w:type="dxa"/>
            <w:gridSpan w:val="2"/>
            <w:tcBorders>
              <w:bottom w:val="single" w:sz="12" w:space="0" w:color="000000"/>
              <w:right w:val="single" w:sz="12" w:space="0" w:color="000000"/>
            </w:tcBorders>
            <w:vAlign w:val="center"/>
          </w:tcPr>
          <w:p w:rsidR="002876E2" w:rsidRDefault="005E4134">
            <w:pPr>
              <w:widowControl/>
              <w:jc w:val="center"/>
              <w:textAlignment w:val="center"/>
              <w:rPr>
                <w:rFonts w:ascii="宋体" w:hAnsi="宋体" w:cs="宋体"/>
                <w:color w:val="000000"/>
                <w:szCs w:val="21"/>
              </w:rPr>
            </w:pPr>
            <w:r>
              <w:rPr>
                <w:rFonts w:ascii="宋体" w:hAnsi="宋体" w:cs="宋体" w:hint="eastAsia"/>
                <w:color w:val="000000"/>
                <w:kern w:val="0"/>
                <w:szCs w:val="21"/>
              </w:rPr>
              <w:t>无破损、渗漏和降低强度或造成堆码不稳定的变形</w:t>
            </w:r>
          </w:p>
        </w:tc>
        <w:tc>
          <w:tcPr>
            <w:tcW w:w="1927" w:type="dxa"/>
            <w:tcBorders>
              <w:bottom w:val="single" w:sz="12" w:space="0" w:color="000000"/>
              <w:right w:val="single" w:sz="12" w:space="0" w:color="000000"/>
            </w:tcBorders>
            <w:vAlign w:val="center"/>
          </w:tcPr>
          <w:p w:rsidR="002876E2" w:rsidRDefault="005E4134">
            <w:pPr>
              <w:widowControl/>
              <w:jc w:val="left"/>
              <w:textAlignment w:val="center"/>
              <w:rPr>
                <w:rFonts w:ascii="宋体" w:hAnsi="宋体" w:cs="宋体"/>
                <w:color w:val="000000"/>
                <w:szCs w:val="21"/>
              </w:rPr>
            </w:pPr>
            <w:r>
              <w:rPr>
                <w:rFonts w:ascii="宋体" w:hAnsi="宋体" w:cs="宋体" w:hint="eastAsia"/>
                <w:color w:val="000000"/>
                <w:kern w:val="0"/>
                <w:szCs w:val="21"/>
              </w:rPr>
              <w:t>无破损、渗漏和降低强度或造成堆码不稳定的变形</w:t>
            </w:r>
          </w:p>
        </w:tc>
      </w:tr>
      <w:tr w:rsidR="002876E2">
        <w:trPr>
          <w:trHeight w:val="571"/>
        </w:trPr>
        <w:tc>
          <w:tcPr>
            <w:tcW w:w="1418" w:type="dxa"/>
            <w:tcBorders>
              <w:left w:val="single" w:sz="12" w:space="0" w:color="000000"/>
              <w:bottom w:val="single" w:sz="12" w:space="0" w:color="000000"/>
              <w:right w:val="single" w:sz="12" w:space="0" w:color="000000"/>
            </w:tcBorders>
            <w:vAlign w:val="center"/>
          </w:tcPr>
          <w:p w:rsidR="002876E2" w:rsidRDefault="005E4134">
            <w:pPr>
              <w:widowControl/>
              <w:textAlignment w:val="center"/>
              <w:rPr>
                <w:rFonts w:ascii="宋体" w:hAnsi="宋体" w:cs="宋体"/>
                <w:color w:val="000000"/>
                <w:szCs w:val="21"/>
              </w:rPr>
            </w:pPr>
            <w:r>
              <w:rPr>
                <w:rFonts w:ascii="宋体" w:hAnsi="宋体" w:cs="宋体" w:hint="eastAsia"/>
                <w:color w:val="000000"/>
                <w:kern w:val="0"/>
                <w:szCs w:val="21"/>
              </w:rPr>
              <w:t>跌落高度m</w:t>
            </w:r>
          </w:p>
        </w:tc>
        <w:tc>
          <w:tcPr>
            <w:tcW w:w="1294" w:type="dxa"/>
            <w:tcBorders>
              <w:bottom w:val="single" w:sz="12" w:space="0" w:color="000000"/>
              <w:right w:val="single" w:sz="12" w:space="0" w:color="000000"/>
            </w:tcBorders>
            <w:vAlign w:val="center"/>
          </w:tcPr>
          <w:p w:rsidR="002876E2" w:rsidRDefault="005E4134">
            <w:pPr>
              <w:widowControl/>
              <w:jc w:val="center"/>
              <w:textAlignment w:val="center"/>
              <w:rPr>
                <w:rFonts w:ascii="宋体" w:hAnsi="宋体" w:cs="宋体"/>
                <w:color w:val="000000"/>
                <w:szCs w:val="21"/>
              </w:rPr>
            </w:pPr>
            <w:r>
              <w:rPr>
                <w:rFonts w:ascii="宋体" w:hAnsi="宋体" w:cs="宋体" w:hint="eastAsia"/>
                <w:color w:val="000000"/>
                <w:kern w:val="0"/>
                <w:szCs w:val="21"/>
              </w:rPr>
              <w:t>1.2</w:t>
            </w:r>
          </w:p>
        </w:tc>
        <w:tc>
          <w:tcPr>
            <w:tcW w:w="1080" w:type="dxa"/>
            <w:tcBorders>
              <w:bottom w:val="single" w:sz="12" w:space="0" w:color="000000"/>
              <w:right w:val="single" w:sz="12" w:space="0" w:color="000000"/>
            </w:tcBorders>
            <w:vAlign w:val="center"/>
          </w:tcPr>
          <w:p w:rsidR="002876E2" w:rsidRDefault="005E4134">
            <w:pPr>
              <w:widowControl/>
              <w:jc w:val="center"/>
              <w:textAlignment w:val="center"/>
              <w:rPr>
                <w:rFonts w:ascii="宋体" w:hAnsi="宋体" w:cs="宋体"/>
                <w:color w:val="000000"/>
                <w:szCs w:val="21"/>
              </w:rPr>
            </w:pPr>
            <w:r>
              <w:rPr>
                <w:rFonts w:ascii="宋体" w:hAnsi="宋体" w:cs="宋体" w:hint="eastAsia"/>
                <w:color w:val="000000"/>
                <w:kern w:val="0"/>
                <w:szCs w:val="21"/>
              </w:rPr>
              <w:t>1.2</w:t>
            </w:r>
          </w:p>
        </w:tc>
        <w:tc>
          <w:tcPr>
            <w:tcW w:w="763" w:type="dxa"/>
            <w:tcBorders>
              <w:bottom w:val="single" w:sz="12" w:space="0" w:color="000000"/>
              <w:right w:val="single" w:sz="4" w:space="0" w:color="auto"/>
            </w:tcBorders>
            <w:vAlign w:val="center"/>
          </w:tcPr>
          <w:p w:rsidR="002876E2" w:rsidRDefault="005E413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1.8</w:t>
            </w:r>
          </w:p>
        </w:tc>
        <w:tc>
          <w:tcPr>
            <w:tcW w:w="765" w:type="dxa"/>
            <w:tcBorders>
              <w:left w:val="single" w:sz="4" w:space="0" w:color="auto"/>
              <w:bottom w:val="single" w:sz="12" w:space="0" w:color="000000"/>
              <w:right w:val="single" w:sz="12" w:space="0" w:color="000000"/>
            </w:tcBorders>
            <w:vAlign w:val="center"/>
          </w:tcPr>
          <w:p w:rsidR="002876E2" w:rsidRDefault="005E4134">
            <w:pPr>
              <w:widowControl/>
              <w:jc w:val="center"/>
              <w:textAlignment w:val="center"/>
              <w:rPr>
                <w:rFonts w:ascii="宋体" w:hAnsi="宋体" w:cs="宋体"/>
                <w:color w:val="000000"/>
                <w:sz w:val="18"/>
                <w:szCs w:val="18"/>
              </w:rPr>
            </w:pPr>
            <w:r>
              <w:rPr>
                <w:rFonts w:ascii="宋体" w:hAnsi="宋体" w:cs="宋体" w:hint="eastAsia"/>
                <w:color w:val="000000"/>
                <w:sz w:val="18"/>
                <w:szCs w:val="18"/>
              </w:rPr>
              <w:t>1.2</w:t>
            </w:r>
          </w:p>
        </w:tc>
        <w:tc>
          <w:tcPr>
            <w:tcW w:w="562" w:type="dxa"/>
            <w:tcBorders>
              <w:bottom w:val="single" w:sz="12" w:space="0" w:color="000000"/>
              <w:right w:val="single" w:sz="4" w:space="0" w:color="auto"/>
            </w:tcBorders>
            <w:vAlign w:val="center"/>
          </w:tcPr>
          <w:p w:rsidR="002876E2" w:rsidRDefault="005E413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1.8</w:t>
            </w:r>
          </w:p>
        </w:tc>
        <w:tc>
          <w:tcPr>
            <w:tcW w:w="1058" w:type="dxa"/>
            <w:tcBorders>
              <w:left w:val="single" w:sz="4" w:space="0" w:color="auto"/>
              <w:bottom w:val="single" w:sz="12" w:space="0" w:color="000000"/>
              <w:right w:val="single" w:sz="12" w:space="0" w:color="000000"/>
            </w:tcBorders>
            <w:vAlign w:val="center"/>
          </w:tcPr>
          <w:p w:rsidR="002876E2" w:rsidRDefault="005E4134">
            <w:pPr>
              <w:widowControl/>
              <w:jc w:val="center"/>
              <w:textAlignment w:val="center"/>
              <w:rPr>
                <w:rFonts w:ascii="宋体" w:hAnsi="宋体" w:cs="宋体"/>
                <w:color w:val="000000"/>
                <w:sz w:val="18"/>
                <w:szCs w:val="18"/>
              </w:rPr>
            </w:pPr>
            <w:r>
              <w:rPr>
                <w:rFonts w:ascii="宋体" w:hAnsi="宋体" w:cs="宋体" w:hint="eastAsia"/>
                <w:color w:val="000000"/>
                <w:sz w:val="18"/>
                <w:szCs w:val="18"/>
              </w:rPr>
              <w:t>1.2</w:t>
            </w:r>
          </w:p>
        </w:tc>
        <w:tc>
          <w:tcPr>
            <w:tcW w:w="1927" w:type="dxa"/>
            <w:tcBorders>
              <w:bottom w:val="single" w:sz="12" w:space="0" w:color="000000"/>
              <w:right w:val="single" w:sz="12" w:space="0" w:color="000000"/>
            </w:tcBorders>
          </w:tcPr>
          <w:p w:rsidR="002876E2" w:rsidRDefault="005E4134">
            <w:pPr>
              <w:widowControl/>
              <w:jc w:val="center"/>
              <w:textAlignment w:val="center"/>
              <w:rPr>
                <w:rFonts w:ascii="宋体" w:hAnsi="宋体" w:cs="宋体"/>
                <w:color w:val="000000"/>
                <w:szCs w:val="21"/>
              </w:rPr>
            </w:pPr>
            <w:r>
              <w:rPr>
                <w:rFonts w:ascii="宋体" w:hAnsi="宋体" w:cs="宋体" w:hint="eastAsia"/>
                <w:color w:val="000000"/>
                <w:szCs w:val="21"/>
              </w:rPr>
              <w:t>1.8</w:t>
            </w:r>
          </w:p>
        </w:tc>
      </w:tr>
      <w:tr w:rsidR="002876E2">
        <w:trPr>
          <w:trHeight w:val="616"/>
        </w:trPr>
        <w:tc>
          <w:tcPr>
            <w:tcW w:w="1418" w:type="dxa"/>
            <w:tcBorders>
              <w:top w:val="single" w:sz="12" w:space="0" w:color="000000"/>
              <w:left w:val="single" w:sz="12" w:space="0" w:color="000000"/>
              <w:bottom w:val="single" w:sz="12" w:space="0" w:color="000000"/>
              <w:right w:val="single" w:sz="12" w:space="0" w:color="000000"/>
            </w:tcBorders>
            <w:vAlign w:val="center"/>
          </w:tcPr>
          <w:p w:rsidR="002876E2" w:rsidRDefault="005E4134">
            <w:pPr>
              <w:widowControl/>
              <w:textAlignment w:val="center"/>
              <w:rPr>
                <w:rFonts w:ascii="宋体" w:hAnsi="宋体" w:cs="宋体"/>
                <w:color w:val="000000"/>
                <w:szCs w:val="21"/>
              </w:rPr>
            </w:pPr>
            <w:r>
              <w:rPr>
                <w:rFonts w:ascii="宋体" w:hAnsi="宋体" w:cs="宋体" w:hint="eastAsia"/>
                <w:color w:val="000000"/>
                <w:kern w:val="0"/>
                <w:szCs w:val="21"/>
              </w:rPr>
              <w:t>手柄强度抗冲击性能试验</w:t>
            </w:r>
          </w:p>
        </w:tc>
        <w:tc>
          <w:tcPr>
            <w:tcW w:w="1294" w:type="dxa"/>
            <w:tcBorders>
              <w:top w:val="single" w:sz="12" w:space="0" w:color="000000"/>
              <w:bottom w:val="single" w:sz="12" w:space="0" w:color="000000"/>
              <w:right w:val="single" w:sz="12" w:space="0" w:color="000000"/>
            </w:tcBorders>
            <w:vAlign w:val="center"/>
          </w:tcPr>
          <w:p w:rsidR="002876E2" w:rsidRDefault="005E4134">
            <w:pPr>
              <w:widowControl/>
              <w:jc w:val="center"/>
              <w:textAlignment w:val="center"/>
              <w:rPr>
                <w:rFonts w:ascii="宋体" w:hAnsi="宋体" w:cs="宋体"/>
                <w:color w:val="000000"/>
                <w:szCs w:val="21"/>
              </w:rPr>
            </w:pPr>
            <w:r>
              <w:rPr>
                <w:rFonts w:ascii="宋体" w:hAnsi="宋体" w:cs="宋体" w:hint="eastAsia"/>
                <w:color w:val="000000"/>
                <w:kern w:val="0"/>
                <w:szCs w:val="21"/>
              </w:rPr>
              <w:t>/</w:t>
            </w:r>
          </w:p>
        </w:tc>
        <w:tc>
          <w:tcPr>
            <w:tcW w:w="1080" w:type="dxa"/>
            <w:tcBorders>
              <w:bottom w:val="single" w:sz="12" w:space="0" w:color="000000"/>
              <w:right w:val="single" w:sz="12" w:space="0" w:color="000000"/>
            </w:tcBorders>
            <w:vAlign w:val="center"/>
          </w:tcPr>
          <w:p w:rsidR="002876E2" w:rsidRDefault="005E413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w:t>
            </w:r>
          </w:p>
        </w:tc>
        <w:tc>
          <w:tcPr>
            <w:tcW w:w="763" w:type="dxa"/>
            <w:tcBorders>
              <w:bottom w:val="single" w:sz="12" w:space="0" w:color="000000"/>
              <w:right w:val="single" w:sz="4" w:space="0" w:color="auto"/>
            </w:tcBorders>
            <w:vAlign w:val="center"/>
          </w:tcPr>
          <w:p w:rsidR="002876E2" w:rsidRDefault="005E4134">
            <w:pPr>
              <w:widowControl/>
              <w:jc w:val="center"/>
              <w:textAlignment w:val="center"/>
              <w:rPr>
                <w:rFonts w:ascii="宋体" w:hAnsi="宋体" w:cs="宋体"/>
                <w:color w:val="000000"/>
                <w:szCs w:val="21"/>
              </w:rPr>
            </w:pPr>
            <w:r>
              <w:rPr>
                <w:rFonts w:ascii="宋体" w:hAnsi="宋体" w:cs="宋体" w:hint="eastAsia"/>
                <w:color w:val="000000"/>
                <w:kern w:val="0"/>
                <w:szCs w:val="21"/>
              </w:rPr>
              <w:t>/</w:t>
            </w:r>
          </w:p>
        </w:tc>
        <w:tc>
          <w:tcPr>
            <w:tcW w:w="765" w:type="dxa"/>
            <w:tcBorders>
              <w:left w:val="single" w:sz="4" w:space="0" w:color="auto"/>
              <w:bottom w:val="single" w:sz="12" w:space="0" w:color="000000"/>
              <w:right w:val="single" w:sz="12" w:space="0" w:color="000000"/>
            </w:tcBorders>
            <w:vAlign w:val="center"/>
          </w:tcPr>
          <w:p w:rsidR="002876E2" w:rsidRDefault="002876E2">
            <w:pPr>
              <w:widowControl/>
              <w:jc w:val="center"/>
              <w:textAlignment w:val="center"/>
              <w:rPr>
                <w:rFonts w:ascii="宋体" w:hAnsi="宋体" w:cs="宋体"/>
                <w:color w:val="000000"/>
                <w:szCs w:val="21"/>
              </w:rPr>
            </w:pPr>
          </w:p>
        </w:tc>
        <w:tc>
          <w:tcPr>
            <w:tcW w:w="562" w:type="dxa"/>
            <w:tcBorders>
              <w:bottom w:val="single" w:sz="12" w:space="0" w:color="000000"/>
              <w:right w:val="single" w:sz="4" w:space="0" w:color="auto"/>
            </w:tcBorders>
            <w:vAlign w:val="center"/>
          </w:tcPr>
          <w:p w:rsidR="002876E2" w:rsidRDefault="005E4134">
            <w:pPr>
              <w:widowControl/>
              <w:jc w:val="center"/>
              <w:textAlignment w:val="center"/>
              <w:rPr>
                <w:rFonts w:ascii="宋体" w:hAnsi="宋体" w:cs="宋体"/>
                <w:color w:val="000000"/>
                <w:szCs w:val="21"/>
              </w:rPr>
            </w:pPr>
            <w:r>
              <w:rPr>
                <w:rFonts w:ascii="宋体" w:hAnsi="宋体" w:cs="宋体" w:hint="eastAsia"/>
                <w:color w:val="000000"/>
                <w:kern w:val="0"/>
                <w:szCs w:val="21"/>
              </w:rPr>
              <w:t>/</w:t>
            </w:r>
          </w:p>
        </w:tc>
        <w:tc>
          <w:tcPr>
            <w:tcW w:w="1058" w:type="dxa"/>
            <w:tcBorders>
              <w:left w:val="single" w:sz="4" w:space="0" w:color="auto"/>
              <w:bottom w:val="single" w:sz="12" w:space="0" w:color="000000"/>
              <w:right w:val="single" w:sz="12" w:space="0" w:color="000000"/>
            </w:tcBorders>
            <w:vAlign w:val="center"/>
          </w:tcPr>
          <w:p w:rsidR="002876E2" w:rsidRDefault="002876E2">
            <w:pPr>
              <w:widowControl/>
              <w:jc w:val="center"/>
              <w:textAlignment w:val="center"/>
              <w:rPr>
                <w:rFonts w:ascii="宋体" w:hAnsi="宋体" w:cs="宋体"/>
                <w:color w:val="000000"/>
                <w:szCs w:val="21"/>
              </w:rPr>
            </w:pPr>
          </w:p>
        </w:tc>
        <w:tc>
          <w:tcPr>
            <w:tcW w:w="1927" w:type="dxa"/>
            <w:tcBorders>
              <w:bottom w:val="single" w:sz="12" w:space="0" w:color="000000"/>
              <w:right w:val="single" w:sz="12" w:space="0" w:color="000000"/>
            </w:tcBorders>
            <w:vAlign w:val="center"/>
          </w:tcPr>
          <w:p w:rsidR="002876E2" w:rsidRDefault="005E4134">
            <w:pPr>
              <w:widowControl/>
              <w:jc w:val="center"/>
              <w:textAlignment w:val="center"/>
              <w:rPr>
                <w:rFonts w:ascii="宋体" w:hAnsi="宋体" w:cs="宋体"/>
                <w:color w:val="000000"/>
                <w:szCs w:val="21"/>
              </w:rPr>
            </w:pPr>
            <w:r>
              <w:rPr>
                <w:rFonts w:ascii="宋体" w:hAnsi="宋体" w:cs="宋体" w:hint="eastAsia"/>
                <w:color w:val="000000"/>
                <w:szCs w:val="21"/>
              </w:rPr>
              <w:t>√</w:t>
            </w:r>
          </w:p>
        </w:tc>
      </w:tr>
    </w:tbl>
    <w:p w:rsidR="002876E2" w:rsidRDefault="005E4134">
      <w:pPr>
        <w:spacing w:line="500" w:lineRule="exact"/>
        <w:rPr>
          <w:rFonts w:ascii="宋体" w:hAnsi="宋体" w:cs="宋体"/>
          <w:sz w:val="24"/>
        </w:rPr>
      </w:pPr>
      <w:r>
        <w:rPr>
          <w:rFonts w:ascii="黑体" w:eastAsia="黑体" w:hAnsi="黑体" w:hint="eastAsia"/>
          <w:sz w:val="24"/>
        </w:rPr>
        <w:t>5</w:t>
      </w:r>
      <w:r>
        <w:rPr>
          <w:rFonts w:ascii="黑体" w:eastAsia="黑体" w:hAnsi="黑体"/>
          <w:sz w:val="24"/>
        </w:rPr>
        <w:t>.2</w:t>
      </w:r>
      <w:r>
        <w:rPr>
          <w:rFonts w:ascii="仿宋_GB2312" w:eastAsia="仿宋_GB2312" w:hAnsi="宋体" w:hint="eastAsia"/>
          <w:sz w:val="24"/>
        </w:rPr>
        <w:t xml:space="preserve">  </w:t>
      </w:r>
      <w:r>
        <w:rPr>
          <w:rFonts w:ascii="宋体" w:hAnsi="宋体" w:cs="宋体" w:hint="eastAsia"/>
          <w:sz w:val="24"/>
        </w:rPr>
        <w:t>基本要求(型式试验规定技术指标外的产品设计、原材料、关键技术、工艺、设备等方面)、质量承诺等体现“浙江制造”标准“四精”特征的相关先进性的对比情况。本标准相对于行业标准，增加了基本要求来设置一流便携式油箱企业</w:t>
      </w:r>
      <w:r>
        <w:rPr>
          <w:rFonts w:ascii="宋体" w:hAnsi="宋体" w:cs="宋体" w:hint="eastAsia"/>
          <w:sz w:val="24"/>
        </w:rPr>
        <w:lastRenderedPageBreak/>
        <w:t>的准入门槛，并为解决消费者的后顾之忧而设置了质量承诺和服务承诺。具体如下</w:t>
      </w:r>
    </w:p>
    <w:p w:rsidR="002876E2" w:rsidRDefault="005E4134">
      <w:pPr>
        <w:spacing w:line="500" w:lineRule="exact"/>
        <w:ind w:firstLineChars="200" w:firstLine="480"/>
        <w:rPr>
          <w:rFonts w:ascii="宋体" w:hAnsi="宋体" w:cs="宋体"/>
          <w:sz w:val="24"/>
        </w:rPr>
      </w:pPr>
      <w:r>
        <w:rPr>
          <w:rFonts w:ascii="宋体" w:hAnsi="宋体" w:cs="宋体" w:hint="eastAsia"/>
          <w:sz w:val="24"/>
        </w:rPr>
        <w:t>1）体现“精心设计”的特征</w:t>
      </w:r>
    </w:p>
    <w:p w:rsidR="002876E2" w:rsidRDefault="005E4134">
      <w:pPr>
        <w:spacing w:line="500" w:lineRule="exact"/>
        <w:ind w:firstLineChars="200" w:firstLine="480"/>
        <w:rPr>
          <w:rFonts w:ascii="宋体" w:hAnsi="宋体" w:cs="宋体"/>
          <w:sz w:val="24"/>
        </w:rPr>
      </w:pPr>
      <w:r>
        <w:rPr>
          <w:rFonts w:ascii="宋体" w:hAnsi="宋体" w:cs="宋体" w:hint="eastAsia"/>
          <w:sz w:val="24"/>
        </w:rPr>
        <w:t>具备罐的新品开发和工艺改进、完善能力。</w:t>
      </w:r>
    </w:p>
    <w:p w:rsidR="002876E2" w:rsidRDefault="005E4134">
      <w:pPr>
        <w:spacing w:line="500" w:lineRule="exact"/>
        <w:ind w:firstLineChars="200" w:firstLine="480"/>
        <w:rPr>
          <w:rFonts w:ascii="宋体" w:hAnsi="宋体" w:cs="宋体"/>
          <w:sz w:val="24"/>
        </w:rPr>
      </w:pPr>
      <w:proofErr w:type="gramStart"/>
      <w:r>
        <w:rPr>
          <w:rFonts w:ascii="宋体" w:hAnsi="宋体" w:cs="宋体" w:hint="eastAsia"/>
          <w:sz w:val="24"/>
        </w:rPr>
        <w:t>一方面对罐的</w:t>
      </w:r>
      <w:proofErr w:type="gramEnd"/>
      <w:r>
        <w:rPr>
          <w:rFonts w:ascii="宋体" w:hAnsi="宋体" w:cs="宋体" w:hint="eastAsia"/>
          <w:sz w:val="24"/>
        </w:rPr>
        <w:t>结构型式进行优化设计，增加了透气螺钉。用户向车里加油时，通过透气螺钉，</w:t>
      </w:r>
      <w:proofErr w:type="gramStart"/>
      <w:r>
        <w:rPr>
          <w:rFonts w:ascii="宋体" w:hAnsi="宋体" w:cs="宋体" w:hint="eastAsia"/>
          <w:sz w:val="24"/>
        </w:rPr>
        <w:t>使罐内外</w:t>
      </w:r>
      <w:proofErr w:type="gramEnd"/>
      <w:r>
        <w:rPr>
          <w:rFonts w:ascii="宋体" w:hAnsi="宋体" w:cs="宋体" w:hint="eastAsia"/>
          <w:sz w:val="24"/>
        </w:rPr>
        <w:t>压平衡，这样加油时出油会又快又顺畅。同时配备导油管，方便用户随时随地加油使用。</w:t>
      </w:r>
    </w:p>
    <w:p w:rsidR="002876E2" w:rsidRDefault="005E4134">
      <w:pPr>
        <w:spacing w:line="500" w:lineRule="exact"/>
        <w:ind w:firstLineChars="200" w:firstLine="480"/>
        <w:rPr>
          <w:rFonts w:ascii="宋体" w:hAnsi="宋体" w:cs="宋体"/>
          <w:sz w:val="24"/>
        </w:rPr>
      </w:pPr>
      <w:r>
        <w:rPr>
          <w:rFonts w:ascii="宋体" w:hAnsi="宋体" w:cs="宋体" w:hint="eastAsia"/>
          <w:sz w:val="24"/>
        </w:rPr>
        <w:t>2）体现“精良选材”的特征</w:t>
      </w:r>
    </w:p>
    <w:p w:rsidR="002876E2" w:rsidRDefault="005E4134">
      <w:pPr>
        <w:spacing w:line="500" w:lineRule="exact"/>
        <w:ind w:firstLineChars="200" w:firstLine="480"/>
        <w:rPr>
          <w:rFonts w:ascii="宋体" w:hAnsi="宋体" w:cs="宋体"/>
          <w:sz w:val="24"/>
        </w:rPr>
      </w:pPr>
      <w:r>
        <w:rPr>
          <w:rFonts w:ascii="宋体" w:hAnsi="宋体" w:cs="宋体" w:hint="eastAsia"/>
          <w:sz w:val="24"/>
        </w:rPr>
        <w:t>镀锌板与不锈钢材质整体防腐性能好，使用寿命同普通板相比提高40%左右，因此在标准</w:t>
      </w:r>
      <w:proofErr w:type="gramStart"/>
      <w:r>
        <w:rPr>
          <w:rFonts w:ascii="宋体" w:hAnsi="宋体" w:cs="宋体" w:hint="eastAsia"/>
          <w:sz w:val="24"/>
        </w:rPr>
        <w:t>里对罐的</w:t>
      </w:r>
      <w:proofErr w:type="gramEnd"/>
      <w:r>
        <w:rPr>
          <w:rFonts w:ascii="宋体" w:hAnsi="宋体" w:cs="宋体" w:hint="eastAsia"/>
          <w:sz w:val="24"/>
        </w:rPr>
        <w:t>原材料</w:t>
      </w:r>
      <w:proofErr w:type="gramStart"/>
      <w:r>
        <w:rPr>
          <w:rFonts w:ascii="宋体" w:hAnsi="宋体" w:cs="宋体" w:hint="eastAsia"/>
          <w:sz w:val="24"/>
        </w:rPr>
        <w:t>作出</w:t>
      </w:r>
      <w:proofErr w:type="gramEnd"/>
      <w:r>
        <w:rPr>
          <w:rFonts w:ascii="宋体" w:hAnsi="宋体" w:cs="宋体" w:hint="eastAsia"/>
          <w:sz w:val="24"/>
        </w:rPr>
        <w:t>要求，应符合GB/T15675和GB/T3280的规定，亦可选用性能不低于上述标准规定的其它薄钢板；提手等焊于油罐的附件应采用不锈钢制作或进行镀锌处理；罐口</w:t>
      </w:r>
      <w:proofErr w:type="gramStart"/>
      <w:r>
        <w:rPr>
          <w:rFonts w:ascii="宋体" w:hAnsi="宋体" w:cs="宋体" w:hint="eastAsia"/>
          <w:sz w:val="24"/>
        </w:rPr>
        <w:t>封闭器</w:t>
      </w:r>
      <w:proofErr w:type="gramEnd"/>
      <w:r>
        <w:rPr>
          <w:rFonts w:ascii="宋体" w:hAnsi="宋体" w:cs="宋体" w:hint="eastAsia"/>
          <w:sz w:val="24"/>
        </w:rPr>
        <w:t>和透气螺钉应采用防锈、防腐性能好的材料制作；罐外表面涂料应采用附着力强、耐候和耐久性好的材料；罐内如需要涂装的，应采用与拟装物相容的涂料。</w:t>
      </w:r>
    </w:p>
    <w:p w:rsidR="002876E2" w:rsidRDefault="005E4134">
      <w:pPr>
        <w:spacing w:line="500" w:lineRule="exact"/>
        <w:ind w:firstLineChars="200" w:firstLine="480"/>
        <w:rPr>
          <w:rFonts w:ascii="宋体" w:hAnsi="宋体" w:cs="宋体"/>
          <w:sz w:val="24"/>
        </w:rPr>
      </w:pPr>
      <w:r>
        <w:rPr>
          <w:rFonts w:ascii="宋体" w:hAnsi="宋体" w:cs="宋体" w:hint="eastAsia"/>
          <w:sz w:val="24"/>
        </w:rPr>
        <w:t>3）体现“精工制造”的特征</w:t>
      </w:r>
    </w:p>
    <w:p w:rsidR="002876E2" w:rsidRDefault="005E4134">
      <w:pPr>
        <w:spacing w:line="500" w:lineRule="exact"/>
        <w:ind w:firstLineChars="200" w:firstLine="480"/>
        <w:rPr>
          <w:rFonts w:ascii="宋体" w:hAnsi="宋体" w:cs="宋体"/>
          <w:sz w:val="24"/>
        </w:rPr>
      </w:pPr>
      <w:r>
        <w:rPr>
          <w:rFonts w:ascii="宋体" w:hAnsi="宋体" w:cs="宋体" w:hint="eastAsia"/>
          <w:sz w:val="24"/>
        </w:rPr>
        <w:t>①应具备制作罐体、罐顶、罐底和</w:t>
      </w:r>
      <w:proofErr w:type="gramStart"/>
      <w:r>
        <w:rPr>
          <w:rFonts w:ascii="宋体" w:hAnsi="宋体" w:cs="宋体" w:hint="eastAsia"/>
          <w:sz w:val="24"/>
        </w:rPr>
        <w:t>罐焊接</w:t>
      </w:r>
      <w:proofErr w:type="gramEnd"/>
      <w:r>
        <w:rPr>
          <w:rFonts w:ascii="宋体" w:hAnsi="宋体" w:cs="宋体" w:hint="eastAsia"/>
          <w:sz w:val="24"/>
        </w:rPr>
        <w:t>、表面处理所需的设备。制造商应配备生产制造过程中关键工艺的制造设备，确保关键工艺都是在品质可控的范围内完成，保证产品质量稳定；</w:t>
      </w:r>
    </w:p>
    <w:p w:rsidR="002876E2" w:rsidRDefault="005E4134">
      <w:pPr>
        <w:spacing w:line="500" w:lineRule="exact"/>
        <w:ind w:firstLineChars="200" w:firstLine="480"/>
        <w:rPr>
          <w:rFonts w:ascii="宋体" w:hAnsi="宋体" w:cs="宋体"/>
          <w:sz w:val="24"/>
        </w:rPr>
      </w:pPr>
      <w:r>
        <w:rPr>
          <w:rFonts w:ascii="宋体" w:hAnsi="宋体" w:cs="宋体" w:hint="eastAsia"/>
          <w:sz w:val="24"/>
        </w:rPr>
        <w:t>②应具备清晰、完善的罐生产流程和相应的工艺文件，应保证制罐过程得到充分识别和明确各过程的控制方法和要求；</w:t>
      </w:r>
    </w:p>
    <w:p w:rsidR="002876E2" w:rsidRDefault="005E4134">
      <w:pPr>
        <w:spacing w:line="500" w:lineRule="exact"/>
        <w:ind w:firstLineChars="200" w:firstLine="480"/>
        <w:rPr>
          <w:rFonts w:ascii="宋体" w:hAnsi="宋体" w:cs="宋体"/>
          <w:sz w:val="24"/>
        </w:rPr>
      </w:pPr>
      <w:r>
        <w:rPr>
          <w:rFonts w:ascii="宋体" w:hAnsi="宋体" w:cs="宋体" w:hint="eastAsia"/>
          <w:sz w:val="24"/>
        </w:rPr>
        <w:t>③在产品焊接完成和表面处理后</w:t>
      </w:r>
      <w:proofErr w:type="gramStart"/>
      <w:r>
        <w:rPr>
          <w:rFonts w:ascii="宋体" w:hAnsi="宋体" w:cs="宋体" w:hint="eastAsia"/>
          <w:sz w:val="24"/>
        </w:rPr>
        <w:t>具备对罐进行</w:t>
      </w:r>
      <w:proofErr w:type="gramEnd"/>
      <w:r>
        <w:rPr>
          <w:rFonts w:ascii="宋体" w:hAnsi="宋体" w:cs="宋体" w:hint="eastAsia"/>
          <w:sz w:val="24"/>
        </w:rPr>
        <w:t>逐个气密试验的条件。一方面规定了罐体接缝应采用焊接工艺，不采用卷封，因为卷边过程中可能会出现垂唇、锐边、开裂、</w:t>
      </w:r>
      <w:proofErr w:type="gramStart"/>
      <w:r>
        <w:rPr>
          <w:rFonts w:ascii="宋体" w:hAnsi="宋体" w:cs="宋体" w:hint="eastAsia"/>
          <w:sz w:val="24"/>
        </w:rPr>
        <w:t>假卷等</w:t>
      </w:r>
      <w:proofErr w:type="gramEnd"/>
      <w:r>
        <w:rPr>
          <w:rFonts w:ascii="宋体" w:hAnsi="宋体" w:cs="宋体" w:hint="eastAsia"/>
          <w:sz w:val="24"/>
        </w:rPr>
        <w:t>不一的缺点，接缝</w:t>
      </w:r>
      <w:proofErr w:type="gramStart"/>
      <w:r>
        <w:rPr>
          <w:rFonts w:ascii="宋体" w:hAnsi="宋体" w:cs="宋体" w:hint="eastAsia"/>
          <w:sz w:val="24"/>
        </w:rPr>
        <w:t>处如果</w:t>
      </w:r>
      <w:proofErr w:type="gramEnd"/>
      <w:r>
        <w:rPr>
          <w:rFonts w:ascii="宋体" w:hAnsi="宋体" w:cs="宋体" w:hint="eastAsia"/>
          <w:sz w:val="24"/>
        </w:rPr>
        <w:t>出现以上缺点，就会造成泄漏，不能达到高密封性的要求，而焊接是把金属通过原子之间的结合和扩散，达到连接成一体结构的一种加工方式。最大程度上保障接缝处无渗漏，使密封性能达到国际先进水平。</w:t>
      </w:r>
    </w:p>
    <w:p w:rsidR="002876E2" w:rsidRDefault="005E4134">
      <w:pPr>
        <w:spacing w:line="500" w:lineRule="exact"/>
        <w:ind w:firstLineChars="200" w:firstLine="480"/>
        <w:rPr>
          <w:rFonts w:ascii="宋体" w:hAnsi="宋体" w:cs="宋体"/>
          <w:sz w:val="24"/>
        </w:rPr>
      </w:pPr>
      <w:r>
        <w:rPr>
          <w:rFonts w:ascii="宋体" w:hAnsi="宋体" w:cs="宋体" w:hint="eastAsia"/>
          <w:sz w:val="24"/>
        </w:rPr>
        <w:t>④罐口制造过程中不能涂镀绝缘层，应能导电，以保证与油</w:t>
      </w:r>
      <w:proofErr w:type="gramStart"/>
      <w:r>
        <w:rPr>
          <w:rFonts w:ascii="宋体" w:hAnsi="宋体" w:cs="宋体" w:hint="eastAsia"/>
          <w:sz w:val="24"/>
        </w:rPr>
        <w:t>枪接触</w:t>
      </w:r>
      <w:proofErr w:type="gramEnd"/>
      <w:r>
        <w:rPr>
          <w:rFonts w:ascii="宋体" w:hAnsi="宋体" w:cs="宋体" w:hint="eastAsia"/>
          <w:sz w:val="24"/>
        </w:rPr>
        <w:t>时释放静电。加油站很多起火、爆炸事件的发生，很大一部分原因是由于静电产生的，故为了防止不必要的人身及财产的损失，故在制造过程中对罐口采取了不能涂镀绝</w:t>
      </w:r>
      <w:r>
        <w:rPr>
          <w:rFonts w:ascii="宋体" w:hAnsi="宋体" w:cs="宋体" w:hint="eastAsia"/>
          <w:sz w:val="24"/>
        </w:rPr>
        <w:lastRenderedPageBreak/>
        <w:t>缘层的措施。</w:t>
      </w:r>
    </w:p>
    <w:p w:rsidR="002876E2" w:rsidRDefault="005E4134">
      <w:pPr>
        <w:numPr>
          <w:ilvl w:val="0"/>
          <w:numId w:val="6"/>
        </w:numPr>
        <w:spacing w:line="500" w:lineRule="exact"/>
        <w:ind w:firstLineChars="200" w:firstLine="480"/>
        <w:rPr>
          <w:rFonts w:ascii="宋体" w:hAnsi="宋体" w:cs="宋体"/>
          <w:sz w:val="24"/>
        </w:rPr>
      </w:pPr>
      <w:r>
        <w:rPr>
          <w:rFonts w:ascii="宋体" w:hAnsi="宋体" w:cs="宋体" w:hint="eastAsia"/>
          <w:sz w:val="24"/>
        </w:rPr>
        <w:t>体现“精准服务”的特征</w:t>
      </w:r>
    </w:p>
    <w:p w:rsidR="002876E2" w:rsidRDefault="005E4134">
      <w:pPr>
        <w:spacing w:line="360" w:lineRule="auto"/>
        <w:ind w:firstLineChars="200" w:firstLine="480"/>
        <w:rPr>
          <w:rFonts w:ascii="宋体" w:hAnsi="宋体" w:cs="宋体"/>
          <w:sz w:val="24"/>
        </w:rPr>
      </w:pPr>
      <w:r>
        <w:rPr>
          <w:rFonts w:ascii="宋体" w:hAnsi="宋体" w:cs="宋体" w:hint="eastAsia"/>
          <w:sz w:val="24"/>
        </w:rPr>
        <w:t>①自出厂检验合格之日起12个月内，在客户正常的储运、保养、使用条件下，因产品质量问题引起的不良品无条件退货。</w:t>
      </w:r>
    </w:p>
    <w:p w:rsidR="002876E2" w:rsidRDefault="005E4134">
      <w:pPr>
        <w:pStyle w:val="ae"/>
        <w:spacing w:line="360" w:lineRule="auto"/>
        <w:ind w:left="0" w:firstLineChars="200" w:firstLine="480"/>
        <w:rPr>
          <w:rFonts w:hAnsi="宋体" w:cs="宋体"/>
          <w:kern w:val="2"/>
          <w:sz w:val="24"/>
          <w:szCs w:val="24"/>
        </w:rPr>
      </w:pPr>
      <w:r>
        <w:rPr>
          <w:rFonts w:hAnsi="宋体" w:cs="宋体" w:hint="eastAsia"/>
          <w:kern w:val="2"/>
          <w:sz w:val="24"/>
          <w:szCs w:val="24"/>
        </w:rPr>
        <w:t>②对于非产品质量出现的意外损伤或缺陷导致产品无法正常使用，制造商应根据客户需求组织或协商解决，12小时内</w:t>
      </w:r>
      <w:proofErr w:type="gramStart"/>
      <w:r>
        <w:rPr>
          <w:rFonts w:hAnsi="宋体" w:cs="宋体" w:hint="eastAsia"/>
          <w:kern w:val="2"/>
          <w:sz w:val="24"/>
          <w:szCs w:val="24"/>
        </w:rPr>
        <w:t>作出</w:t>
      </w:r>
      <w:proofErr w:type="gramEnd"/>
      <w:r>
        <w:rPr>
          <w:rFonts w:hAnsi="宋体" w:cs="宋体" w:hint="eastAsia"/>
          <w:kern w:val="2"/>
          <w:sz w:val="24"/>
          <w:szCs w:val="24"/>
        </w:rPr>
        <w:t>响应，24小时内提供处理解决方案。</w:t>
      </w:r>
    </w:p>
    <w:p w:rsidR="002876E2" w:rsidRDefault="005E4134">
      <w:pPr>
        <w:spacing w:line="360" w:lineRule="auto"/>
        <w:ind w:firstLineChars="200" w:firstLine="480"/>
        <w:rPr>
          <w:rFonts w:ascii="宋体" w:hAnsi="宋体" w:cs="宋体"/>
          <w:sz w:val="24"/>
        </w:rPr>
      </w:pPr>
      <w:r>
        <w:rPr>
          <w:rFonts w:ascii="宋体" w:hAnsi="宋体" w:cs="宋体" w:hint="eastAsia"/>
          <w:sz w:val="24"/>
        </w:rPr>
        <w:t>③产品可追溯。</w:t>
      </w:r>
    </w:p>
    <w:p w:rsidR="002876E2" w:rsidRDefault="005E4134">
      <w:pPr>
        <w:pStyle w:val="a1"/>
        <w:numPr>
          <w:ilvl w:val="0"/>
          <w:numId w:val="0"/>
        </w:numPr>
        <w:spacing w:before="312" w:after="312"/>
        <w:jc w:val="left"/>
        <w:rPr>
          <w:rFonts w:ascii="宋体" w:eastAsia="宋体" w:hAnsi="宋体" w:cs="宋体"/>
          <w:sz w:val="24"/>
          <w:szCs w:val="24"/>
        </w:rPr>
      </w:pPr>
      <w:r>
        <w:rPr>
          <w:rFonts w:ascii="宋体" w:eastAsia="宋体" w:hAnsi="宋体" w:cs="宋体" w:hint="eastAsia"/>
          <w:sz w:val="24"/>
          <w:szCs w:val="24"/>
        </w:rPr>
        <w:t>6  与现行相关法律、法规、规章及相关标准的协调性</w:t>
      </w:r>
    </w:p>
    <w:p w:rsidR="002876E2" w:rsidRDefault="005E4134">
      <w:pPr>
        <w:spacing w:line="500" w:lineRule="exact"/>
        <w:rPr>
          <w:rFonts w:ascii="宋体" w:hAnsi="宋体" w:cs="宋体"/>
          <w:sz w:val="24"/>
        </w:rPr>
      </w:pPr>
      <w:r>
        <w:rPr>
          <w:rFonts w:ascii="宋体" w:hAnsi="宋体" w:cs="宋体" w:hint="eastAsia"/>
          <w:kern w:val="0"/>
          <w:sz w:val="24"/>
        </w:rPr>
        <w:t xml:space="preserve">6.1 </w:t>
      </w:r>
      <w:r>
        <w:rPr>
          <w:rFonts w:ascii="宋体" w:hAnsi="宋体" w:cs="宋体" w:hint="eastAsia"/>
          <w:sz w:val="24"/>
        </w:rPr>
        <w:t xml:space="preserve"> 目前国内主要执行的标准有：</w:t>
      </w:r>
    </w:p>
    <w:p w:rsidR="002876E2" w:rsidRDefault="005E4134">
      <w:pPr>
        <w:spacing w:line="500" w:lineRule="exact"/>
        <w:ind w:firstLineChars="200" w:firstLine="480"/>
        <w:rPr>
          <w:rFonts w:ascii="宋体" w:hAnsi="宋体" w:cs="宋体"/>
          <w:color w:val="000000"/>
          <w:kern w:val="0"/>
          <w:sz w:val="24"/>
        </w:rPr>
      </w:pPr>
      <w:r>
        <w:rPr>
          <w:rFonts w:ascii="宋体" w:hAnsi="宋体" w:cs="宋体" w:hint="eastAsia"/>
          <w:sz w:val="24"/>
        </w:rPr>
        <w:t>BB/T 0064-2013 《包装容器  钢质手提罐》</w:t>
      </w:r>
      <w:r>
        <w:rPr>
          <w:rFonts w:ascii="宋体" w:hAnsi="宋体" w:cs="宋体" w:hint="eastAsia"/>
          <w:color w:val="000000"/>
          <w:kern w:val="0"/>
          <w:sz w:val="24"/>
        </w:rPr>
        <w:t>。</w:t>
      </w:r>
    </w:p>
    <w:p w:rsidR="002876E2" w:rsidRDefault="005E4134">
      <w:pPr>
        <w:spacing w:line="500" w:lineRule="exact"/>
        <w:rPr>
          <w:rFonts w:ascii="宋体" w:hAnsi="宋体" w:cs="宋体"/>
          <w:sz w:val="24"/>
        </w:rPr>
      </w:pPr>
      <w:r>
        <w:rPr>
          <w:rFonts w:ascii="宋体" w:hAnsi="宋体" w:cs="宋体" w:hint="eastAsia"/>
          <w:kern w:val="0"/>
          <w:sz w:val="24"/>
        </w:rPr>
        <w:t>6.2</w:t>
      </w:r>
      <w:r>
        <w:rPr>
          <w:rFonts w:ascii="宋体" w:hAnsi="宋体" w:cs="宋体" w:hint="eastAsia"/>
          <w:sz w:val="24"/>
        </w:rPr>
        <w:t xml:space="preserve">  本标准与相关法律、法规、规章、强制性标准相冲突情况。</w:t>
      </w:r>
    </w:p>
    <w:p w:rsidR="002876E2" w:rsidRDefault="005E4134">
      <w:pPr>
        <w:spacing w:line="500" w:lineRule="exact"/>
        <w:ind w:firstLineChars="200" w:firstLine="480"/>
        <w:rPr>
          <w:rFonts w:ascii="宋体" w:hAnsi="宋体" w:cs="宋体"/>
          <w:sz w:val="24"/>
        </w:rPr>
      </w:pPr>
      <w:r>
        <w:rPr>
          <w:rFonts w:ascii="宋体" w:hAnsi="宋体" w:cs="宋体" w:hint="eastAsia"/>
          <w:sz w:val="24"/>
        </w:rPr>
        <w:t>本标准为包装容器钢质手提油罐的专用标准，与其他现有的及制修订中的相关标准均无交叉、重复关系。</w:t>
      </w:r>
    </w:p>
    <w:p w:rsidR="002876E2" w:rsidRDefault="005E4134">
      <w:pPr>
        <w:spacing w:line="500" w:lineRule="exact"/>
        <w:rPr>
          <w:rFonts w:ascii="宋体" w:hAnsi="宋体" w:cs="宋体"/>
          <w:sz w:val="24"/>
        </w:rPr>
      </w:pPr>
      <w:r>
        <w:rPr>
          <w:rFonts w:ascii="黑体" w:eastAsia="黑体" w:hAnsi="黑体" w:hint="eastAsia"/>
          <w:kern w:val="0"/>
          <w:sz w:val="24"/>
        </w:rPr>
        <w:t>6.</w:t>
      </w:r>
      <w:r>
        <w:rPr>
          <w:rFonts w:ascii="宋体" w:hAnsi="宋体" w:cs="宋体" w:hint="eastAsia"/>
          <w:kern w:val="0"/>
          <w:sz w:val="24"/>
        </w:rPr>
        <w:t>3</w:t>
      </w:r>
      <w:r>
        <w:rPr>
          <w:rFonts w:ascii="宋体" w:hAnsi="宋体" w:cs="宋体" w:hint="eastAsia"/>
          <w:sz w:val="24"/>
        </w:rPr>
        <w:t xml:space="preserve">  是否存在标准低于相关国标、</w:t>
      </w:r>
      <w:proofErr w:type="gramStart"/>
      <w:r>
        <w:rPr>
          <w:rFonts w:ascii="宋体" w:hAnsi="宋体" w:cs="宋体" w:hint="eastAsia"/>
          <w:sz w:val="24"/>
        </w:rPr>
        <w:t>行标和</w:t>
      </w:r>
      <w:proofErr w:type="gramEnd"/>
      <w:r>
        <w:rPr>
          <w:rFonts w:ascii="宋体" w:hAnsi="宋体" w:cs="宋体" w:hint="eastAsia"/>
          <w:sz w:val="24"/>
        </w:rPr>
        <w:t>地标等推荐性标准的情况。</w:t>
      </w:r>
    </w:p>
    <w:p w:rsidR="002876E2" w:rsidRDefault="005E4134">
      <w:pPr>
        <w:spacing w:line="500" w:lineRule="exact"/>
        <w:ind w:firstLineChars="200" w:firstLine="480"/>
        <w:rPr>
          <w:rFonts w:ascii="宋体" w:hAnsi="宋体" w:cs="宋体"/>
          <w:sz w:val="24"/>
        </w:rPr>
      </w:pPr>
      <w:r>
        <w:rPr>
          <w:rFonts w:ascii="宋体" w:hAnsi="宋体" w:cs="宋体" w:hint="eastAsia"/>
          <w:sz w:val="24"/>
        </w:rPr>
        <w:t>本标准在BB/T 0064-2013 《包装容器  钢质手提罐》基础上增加或提高了部分技术指标，整体水平高于现有行业标准的技术要求。</w:t>
      </w:r>
    </w:p>
    <w:p w:rsidR="002876E2" w:rsidRDefault="005E4134">
      <w:pPr>
        <w:spacing w:line="500" w:lineRule="exact"/>
        <w:rPr>
          <w:rFonts w:ascii="宋体" w:hAnsi="宋体" w:cs="宋体"/>
          <w:sz w:val="24"/>
        </w:rPr>
      </w:pPr>
      <w:r>
        <w:rPr>
          <w:rFonts w:ascii="宋体" w:hAnsi="宋体" w:cs="宋体" w:hint="eastAsia"/>
          <w:kern w:val="0"/>
          <w:sz w:val="24"/>
        </w:rPr>
        <w:t>6.3</w:t>
      </w:r>
      <w:r>
        <w:rPr>
          <w:rFonts w:ascii="宋体" w:hAnsi="宋体" w:cs="宋体" w:hint="eastAsia"/>
          <w:sz w:val="24"/>
        </w:rPr>
        <w:t xml:space="preserve">  本标准引用了以下文件，引用文件全部现行有效。</w:t>
      </w:r>
    </w:p>
    <w:p w:rsidR="002876E2" w:rsidRDefault="005E4134">
      <w:pPr>
        <w:pStyle w:val="ab"/>
        <w:spacing w:line="360" w:lineRule="auto"/>
        <w:ind w:firstLineChars="0"/>
        <w:rPr>
          <w:rFonts w:eastAsia="宋体" w:hAnsi="宋体" w:cs="宋体"/>
          <w:sz w:val="24"/>
          <w:szCs w:val="24"/>
        </w:rPr>
      </w:pPr>
      <w:r>
        <w:rPr>
          <w:rFonts w:eastAsia="宋体" w:hAnsi="宋体" w:cs="宋体" w:hint="eastAsia"/>
          <w:sz w:val="24"/>
          <w:szCs w:val="24"/>
        </w:rPr>
        <w:t>GB/T 191  包装储运图示标志</w:t>
      </w:r>
    </w:p>
    <w:p w:rsidR="002876E2" w:rsidRDefault="005E4134">
      <w:pPr>
        <w:pStyle w:val="ab"/>
        <w:spacing w:line="360" w:lineRule="auto"/>
        <w:ind w:firstLineChars="0"/>
        <w:rPr>
          <w:sz w:val="24"/>
          <w:szCs w:val="24"/>
        </w:rPr>
      </w:pPr>
      <w:r>
        <w:rPr>
          <w:rFonts w:hint="eastAsia"/>
          <w:sz w:val="24"/>
          <w:szCs w:val="24"/>
        </w:rPr>
        <w:t>GB/T 2828.1  计数抽样检验程序 第1部分:按接收质量限(AQL)检索的逐批检验抽样计划</w:t>
      </w:r>
    </w:p>
    <w:p w:rsidR="002876E2" w:rsidRDefault="005E4134">
      <w:pPr>
        <w:pStyle w:val="ab"/>
        <w:tabs>
          <w:tab w:val="clear" w:pos="9298"/>
          <w:tab w:val="center" w:pos="4677"/>
        </w:tabs>
        <w:spacing w:line="360" w:lineRule="auto"/>
        <w:ind w:firstLineChars="0"/>
        <w:rPr>
          <w:sz w:val="24"/>
          <w:szCs w:val="24"/>
        </w:rPr>
      </w:pPr>
      <w:r>
        <w:rPr>
          <w:rFonts w:hint="eastAsia"/>
          <w:sz w:val="24"/>
          <w:szCs w:val="24"/>
        </w:rPr>
        <w:t>GB/T 3280  不锈钢冷轧钢板和钢带</w:t>
      </w:r>
    </w:p>
    <w:p w:rsidR="002876E2" w:rsidRDefault="005E4134">
      <w:pPr>
        <w:pStyle w:val="ab"/>
        <w:tabs>
          <w:tab w:val="clear" w:pos="9298"/>
          <w:tab w:val="center" w:pos="4677"/>
        </w:tabs>
        <w:spacing w:line="360" w:lineRule="auto"/>
        <w:ind w:firstLineChars="0"/>
        <w:rPr>
          <w:sz w:val="24"/>
          <w:szCs w:val="24"/>
        </w:rPr>
      </w:pPr>
      <w:r>
        <w:rPr>
          <w:rFonts w:hint="eastAsia"/>
          <w:sz w:val="24"/>
          <w:szCs w:val="24"/>
        </w:rPr>
        <w:t>GB/T 4122.4  包装术语  第4部分  材料与容器</w:t>
      </w:r>
    </w:p>
    <w:p w:rsidR="002876E2" w:rsidRDefault="005E4134">
      <w:pPr>
        <w:pStyle w:val="ab"/>
        <w:spacing w:line="360" w:lineRule="auto"/>
        <w:ind w:firstLineChars="0"/>
        <w:rPr>
          <w:sz w:val="24"/>
          <w:szCs w:val="24"/>
        </w:rPr>
      </w:pPr>
      <w:r>
        <w:rPr>
          <w:rFonts w:hint="eastAsia"/>
          <w:sz w:val="24"/>
          <w:szCs w:val="24"/>
        </w:rPr>
        <w:t>GB/T 4857.3  包装 运输包装</w:t>
      </w:r>
      <w:proofErr w:type="gramStart"/>
      <w:r>
        <w:rPr>
          <w:rFonts w:hint="eastAsia"/>
          <w:sz w:val="24"/>
          <w:szCs w:val="24"/>
        </w:rPr>
        <w:t>件基本</w:t>
      </w:r>
      <w:proofErr w:type="gramEnd"/>
      <w:r>
        <w:rPr>
          <w:rFonts w:hint="eastAsia"/>
          <w:sz w:val="24"/>
          <w:szCs w:val="24"/>
        </w:rPr>
        <w:t>试验 第3部分：静载荷堆码试验方法</w:t>
      </w:r>
    </w:p>
    <w:p w:rsidR="002876E2" w:rsidRDefault="005E4134">
      <w:pPr>
        <w:pStyle w:val="ab"/>
        <w:spacing w:line="360" w:lineRule="auto"/>
        <w:ind w:firstLineChars="0"/>
        <w:rPr>
          <w:sz w:val="24"/>
          <w:szCs w:val="24"/>
        </w:rPr>
      </w:pPr>
      <w:r>
        <w:rPr>
          <w:rFonts w:hint="eastAsia"/>
          <w:sz w:val="24"/>
          <w:szCs w:val="24"/>
        </w:rPr>
        <w:t>GB/T 4857.5  包装 运输包装件 跌落试验方法</w:t>
      </w:r>
    </w:p>
    <w:p w:rsidR="002876E2" w:rsidRDefault="005E4134">
      <w:pPr>
        <w:pStyle w:val="ab"/>
        <w:spacing w:line="360" w:lineRule="auto"/>
        <w:ind w:firstLineChars="0"/>
        <w:rPr>
          <w:sz w:val="24"/>
          <w:szCs w:val="24"/>
        </w:rPr>
      </w:pPr>
      <w:r>
        <w:rPr>
          <w:rFonts w:hint="eastAsia"/>
          <w:sz w:val="24"/>
          <w:szCs w:val="24"/>
        </w:rPr>
        <w:t>GB/T 4956  磁性基体上非磁性覆盖层 覆盖层厚度测量 磁性法</w:t>
      </w:r>
    </w:p>
    <w:p w:rsidR="002876E2" w:rsidRDefault="005E4134">
      <w:pPr>
        <w:pStyle w:val="ab"/>
        <w:spacing w:line="360" w:lineRule="auto"/>
        <w:ind w:firstLineChars="0"/>
        <w:rPr>
          <w:sz w:val="24"/>
          <w:szCs w:val="24"/>
        </w:rPr>
      </w:pPr>
      <w:r>
        <w:rPr>
          <w:rFonts w:hAnsi="宋体"/>
          <w:sz w:val="24"/>
          <w:szCs w:val="24"/>
        </w:rPr>
        <w:t xml:space="preserve">GB/T </w:t>
      </w:r>
      <w:r>
        <w:rPr>
          <w:rFonts w:hAnsi="宋体" w:hint="eastAsia"/>
          <w:sz w:val="24"/>
          <w:szCs w:val="24"/>
        </w:rPr>
        <w:t>9286  色漆和清漆划格试验</w:t>
      </w:r>
    </w:p>
    <w:p w:rsidR="002876E2" w:rsidRDefault="005E4134">
      <w:pPr>
        <w:pStyle w:val="ab"/>
        <w:spacing w:line="360" w:lineRule="auto"/>
        <w:ind w:firstLineChars="0"/>
        <w:rPr>
          <w:sz w:val="24"/>
          <w:szCs w:val="24"/>
        </w:rPr>
      </w:pPr>
      <w:r>
        <w:rPr>
          <w:rFonts w:hint="eastAsia"/>
          <w:sz w:val="24"/>
          <w:szCs w:val="24"/>
        </w:rPr>
        <w:t>GB/T 15675  连续电镀锌、锌镍合金镀层钢板及钢带</w:t>
      </w:r>
    </w:p>
    <w:p w:rsidR="002876E2" w:rsidRDefault="005E4134">
      <w:pPr>
        <w:pStyle w:val="ab"/>
        <w:spacing w:line="360" w:lineRule="auto"/>
        <w:ind w:firstLineChars="0"/>
        <w:rPr>
          <w:sz w:val="24"/>
          <w:szCs w:val="24"/>
        </w:rPr>
      </w:pPr>
      <w:r>
        <w:rPr>
          <w:rFonts w:hint="eastAsia"/>
          <w:sz w:val="24"/>
          <w:szCs w:val="24"/>
        </w:rPr>
        <w:t>GB/T 17344  包装 包装容器 气密试验方法</w:t>
      </w:r>
    </w:p>
    <w:p w:rsidR="002876E2" w:rsidRDefault="005E4134">
      <w:pPr>
        <w:pStyle w:val="ab"/>
        <w:spacing w:line="360" w:lineRule="auto"/>
        <w:ind w:firstLineChars="0"/>
        <w:rPr>
          <w:sz w:val="24"/>
          <w:szCs w:val="24"/>
        </w:rPr>
      </w:pPr>
      <w:r>
        <w:rPr>
          <w:rFonts w:hint="eastAsia"/>
          <w:sz w:val="24"/>
          <w:szCs w:val="24"/>
        </w:rPr>
        <w:lastRenderedPageBreak/>
        <w:t>BB/T 0064  包装容器 钢质手提罐</w:t>
      </w:r>
    </w:p>
    <w:p w:rsidR="002876E2" w:rsidRDefault="005E4134">
      <w:pPr>
        <w:spacing w:line="400" w:lineRule="exact"/>
        <w:rPr>
          <w:rFonts w:ascii="黑体" w:eastAsia="黑体" w:hAnsi="黑体"/>
          <w:kern w:val="0"/>
          <w:sz w:val="24"/>
        </w:rPr>
      </w:pPr>
      <w:r>
        <w:rPr>
          <w:rFonts w:ascii="黑体" w:eastAsia="黑体" w:hAnsi="黑体" w:hint="eastAsia"/>
          <w:kern w:val="0"/>
          <w:sz w:val="24"/>
        </w:rPr>
        <w:t>7  社会效益</w:t>
      </w:r>
    </w:p>
    <w:p w:rsidR="002876E2" w:rsidRDefault="005E4134">
      <w:pPr>
        <w:pStyle w:val="ac"/>
        <w:numPr>
          <w:ilvl w:val="0"/>
          <w:numId w:val="7"/>
        </w:numPr>
        <w:spacing w:line="500" w:lineRule="exact"/>
        <w:ind w:firstLineChars="0"/>
        <w:rPr>
          <w:rFonts w:ascii="宋体" w:hAnsi="宋体" w:cs="宋体"/>
          <w:sz w:val="24"/>
        </w:rPr>
      </w:pPr>
      <w:r>
        <w:rPr>
          <w:rFonts w:ascii="宋体" w:hAnsi="宋体" w:cs="宋体" w:hint="eastAsia"/>
          <w:sz w:val="24"/>
        </w:rPr>
        <w:t>提升产品质量，使产品使用更加安全、环保，降低因油箱产品质量问题引起的人身伤害、财产损失和环境污染。</w:t>
      </w:r>
    </w:p>
    <w:p w:rsidR="002876E2" w:rsidRDefault="005E4134">
      <w:pPr>
        <w:pStyle w:val="ac"/>
        <w:numPr>
          <w:ilvl w:val="0"/>
          <w:numId w:val="7"/>
        </w:numPr>
        <w:spacing w:line="500" w:lineRule="exact"/>
        <w:ind w:firstLineChars="0"/>
        <w:rPr>
          <w:rFonts w:ascii="宋体" w:hAnsi="宋体" w:cs="宋体"/>
          <w:sz w:val="24"/>
        </w:rPr>
      </w:pPr>
      <w:r>
        <w:rPr>
          <w:rFonts w:ascii="宋体" w:hAnsi="宋体" w:cs="宋体" w:hint="eastAsia"/>
          <w:sz w:val="24"/>
        </w:rPr>
        <w:t>延长了使用寿命，</w:t>
      </w:r>
      <w:r w:rsidR="00F15A03">
        <w:rPr>
          <w:rFonts w:ascii="宋体" w:hAnsi="宋体" w:cs="宋体" w:hint="eastAsia"/>
          <w:sz w:val="24"/>
        </w:rPr>
        <w:t>罐体材料使用镀锌钢板</w:t>
      </w:r>
      <w:r>
        <w:rPr>
          <w:rFonts w:ascii="宋体" w:hAnsi="宋体" w:cs="宋体" w:hint="eastAsia"/>
          <w:sz w:val="24"/>
        </w:rPr>
        <w:t>与普通板相比延长至少3年，降低了原材料、水、电等资源、能源消耗，可节约近亿元。</w:t>
      </w:r>
    </w:p>
    <w:p w:rsidR="002876E2" w:rsidRDefault="005E4134">
      <w:pPr>
        <w:pStyle w:val="ac"/>
        <w:numPr>
          <w:ilvl w:val="0"/>
          <w:numId w:val="7"/>
        </w:numPr>
        <w:spacing w:line="500" w:lineRule="exact"/>
        <w:ind w:firstLineChars="0"/>
        <w:rPr>
          <w:rFonts w:ascii="宋体" w:hAnsi="宋体" w:cs="宋体"/>
          <w:sz w:val="24"/>
        </w:rPr>
      </w:pPr>
      <w:r>
        <w:rPr>
          <w:rFonts w:ascii="宋体" w:hAnsi="宋体" w:cs="宋体" w:hint="eastAsia"/>
          <w:sz w:val="24"/>
        </w:rPr>
        <w:t>提高客户满意度，树立品牌形象。</w:t>
      </w:r>
    </w:p>
    <w:p w:rsidR="002876E2" w:rsidRDefault="005E4134">
      <w:pPr>
        <w:pStyle w:val="ac"/>
        <w:numPr>
          <w:ilvl w:val="0"/>
          <w:numId w:val="7"/>
        </w:numPr>
        <w:spacing w:line="500" w:lineRule="exact"/>
        <w:ind w:firstLineChars="0"/>
        <w:rPr>
          <w:rFonts w:ascii="宋体" w:hAnsi="宋体" w:cs="宋体"/>
          <w:sz w:val="24"/>
        </w:rPr>
      </w:pPr>
      <w:r>
        <w:rPr>
          <w:rFonts w:ascii="宋体" w:hAnsi="宋体" w:cs="宋体" w:hint="eastAsia"/>
          <w:sz w:val="24"/>
        </w:rPr>
        <w:t>规范企业生产，树立行业标杆，带动上下游及相关产业技术进步。</w:t>
      </w:r>
    </w:p>
    <w:p w:rsidR="002876E2" w:rsidRDefault="005E4134">
      <w:pPr>
        <w:pStyle w:val="a1"/>
        <w:numPr>
          <w:ilvl w:val="0"/>
          <w:numId w:val="0"/>
        </w:numPr>
        <w:spacing w:before="312" w:after="312"/>
        <w:jc w:val="left"/>
        <w:rPr>
          <w:rFonts w:hAnsi="黑体"/>
          <w:sz w:val="24"/>
          <w:szCs w:val="24"/>
        </w:rPr>
      </w:pPr>
      <w:r>
        <w:rPr>
          <w:rFonts w:hAnsi="黑体" w:hint="eastAsia"/>
          <w:sz w:val="24"/>
          <w:szCs w:val="24"/>
        </w:rPr>
        <w:t>8  重大分歧意见的处理经过和依据</w:t>
      </w:r>
    </w:p>
    <w:p w:rsidR="002876E2" w:rsidRDefault="005E4134">
      <w:pPr>
        <w:spacing w:line="500" w:lineRule="exact"/>
        <w:ind w:firstLineChars="200" w:firstLine="480"/>
        <w:rPr>
          <w:rFonts w:ascii="宋体" w:hAnsi="宋体" w:cs="宋体"/>
          <w:sz w:val="24"/>
        </w:rPr>
      </w:pPr>
      <w:r>
        <w:rPr>
          <w:rFonts w:ascii="宋体" w:hAnsi="宋体" w:cs="宋体" w:hint="eastAsia"/>
          <w:sz w:val="24"/>
        </w:rPr>
        <w:t>无重大分歧意见</w:t>
      </w:r>
    </w:p>
    <w:p w:rsidR="002876E2" w:rsidRDefault="005E4134">
      <w:pPr>
        <w:pStyle w:val="a1"/>
        <w:numPr>
          <w:ilvl w:val="0"/>
          <w:numId w:val="0"/>
        </w:numPr>
        <w:spacing w:before="312" w:after="312"/>
        <w:jc w:val="left"/>
        <w:rPr>
          <w:rFonts w:hAnsi="黑体"/>
          <w:sz w:val="24"/>
          <w:szCs w:val="24"/>
        </w:rPr>
      </w:pPr>
      <w:r>
        <w:rPr>
          <w:rFonts w:hAnsi="黑体" w:hint="eastAsia"/>
          <w:sz w:val="24"/>
          <w:szCs w:val="24"/>
        </w:rPr>
        <w:t>9  废止现行相关标准的建议</w:t>
      </w:r>
    </w:p>
    <w:p w:rsidR="002876E2" w:rsidRDefault="005E4134">
      <w:pPr>
        <w:spacing w:line="500" w:lineRule="exact"/>
        <w:ind w:firstLineChars="200" w:firstLine="480"/>
        <w:rPr>
          <w:rFonts w:ascii="宋体" w:hAnsi="宋体" w:cs="宋体"/>
          <w:sz w:val="24"/>
        </w:rPr>
      </w:pPr>
      <w:r>
        <w:rPr>
          <w:rFonts w:ascii="宋体" w:hAnsi="宋体" w:cs="宋体" w:hint="eastAsia"/>
          <w:sz w:val="24"/>
        </w:rPr>
        <w:t>不建议</w:t>
      </w:r>
    </w:p>
    <w:p w:rsidR="002876E2" w:rsidRDefault="005E4134">
      <w:pPr>
        <w:pStyle w:val="a1"/>
        <w:numPr>
          <w:ilvl w:val="0"/>
          <w:numId w:val="0"/>
        </w:numPr>
        <w:spacing w:before="312" w:after="312"/>
        <w:jc w:val="left"/>
        <w:rPr>
          <w:rFonts w:hAnsi="黑体"/>
          <w:sz w:val="24"/>
          <w:szCs w:val="24"/>
        </w:rPr>
      </w:pPr>
      <w:r>
        <w:rPr>
          <w:rFonts w:hAnsi="黑体" w:hint="eastAsia"/>
          <w:sz w:val="24"/>
          <w:szCs w:val="24"/>
        </w:rPr>
        <w:t>10  提出标准强制实施或推荐实施的建议和理由</w:t>
      </w:r>
    </w:p>
    <w:p w:rsidR="002876E2" w:rsidRDefault="005E4134">
      <w:pPr>
        <w:spacing w:line="500" w:lineRule="exact"/>
        <w:ind w:firstLineChars="200" w:firstLine="480"/>
        <w:rPr>
          <w:rFonts w:ascii="宋体" w:hAnsi="宋体" w:cs="宋体"/>
          <w:sz w:val="24"/>
        </w:rPr>
      </w:pPr>
      <w:r>
        <w:rPr>
          <w:rFonts w:ascii="宋体" w:hAnsi="宋体" w:cs="宋体" w:hint="eastAsia"/>
          <w:sz w:val="24"/>
        </w:rPr>
        <w:t>本标准为浙江省品牌建设联合会团体标准。</w:t>
      </w:r>
    </w:p>
    <w:p w:rsidR="002876E2" w:rsidRDefault="005E4134">
      <w:pPr>
        <w:pStyle w:val="a1"/>
        <w:numPr>
          <w:ilvl w:val="0"/>
          <w:numId w:val="0"/>
        </w:numPr>
        <w:spacing w:before="312" w:after="312"/>
        <w:jc w:val="left"/>
        <w:rPr>
          <w:rFonts w:hAnsi="黑体"/>
          <w:sz w:val="24"/>
          <w:szCs w:val="24"/>
        </w:rPr>
      </w:pPr>
      <w:r>
        <w:rPr>
          <w:rFonts w:hAnsi="黑体" w:hint="eastAsia"/>
          <w:sz w:val="24"/>
          <w:szCs w:val="24"/>
        </w:rPr>
        <w:t>11  贯彻标准的要求和措施建议</w:t>
      </w:r>
    </w:p>
    <w:p w:rsidR="002876E2" w:rsidRDefault="005E4134">
      <w:pPr>
        <w:spacing w:line="500" w:lineRule="exact"/>
        <w:ind w:firstLineChars="200" w:firstLine="480"/>
        <w:rPr>
          <w:rFonts w:ascii="宋体" w:hAnsi="宋体" w:cs="宋体"/>
          <w:sz w:val="24"/>
        </w:rPr>
      </w:pPr>
      <w:r>
        <w:rPr>
          <w:rFonts w:ascii="宋体" w:hAnsi="宋体" w:cs="宋体" w:hint="eastAsia"/>
          <w:sz w:val="24"/>
        </w:rPr>
        <w:t>已批准发布的“浙江制造”标准，文本由浙江省品牌建设联合会在官方网站（http://www.zhejiangmade.org.cn/）上全文公布，供社会免费查阅。</w:t>
      </w:r>
    </w:p>
    <w:p w:rsidR="002876E2" w:rsidRDefault="005E4134">
      <w:pPr>
        <w:spacing w:line="500" w:lineRule="exact"/>
        <w:ind w:firstLineChars="200" w:firstLine="480"/>
        <w:rPr>
          <w:rFonts w:ascii="宋体" w:hAnsi="宋体" w:cs="宋体"/>
          <w:sz w:val="24"/>
        </w:rPr>
      </w:pPr>
      <w:proofErr w:type="gramStart"/>
      <w:r>
        <w:rPr>
          <w:rFonts w:ascii="宋体" w:hAnsi="宋体" w:cs="宋体" w:hint="eastAsia"/>
          <w:sz w:val="24"/>
        </w:rPr>
        <w:t>杭州鼎升机械</w:t>
      </w:r>
      <w:proofErr w:type="gramEnd"/>
      <w:r>
        <w:rPr>
          <w:rFonts w:ascii="宋体" w:hAnsi="宋体" w:cs="宋体" w:hint="eastAsia"/>
          <w:sz w:val="24"/>
        </w:rPr>
        <w:t>有限公司将在企业标准信息公共服务平台（http://www.cpbz.gov.cn/）上自我声明采用本标准，其他采用本标准的单位也应在信息平台上进行自我声明。</w:t>
      </w:r>
    </w:p>
    <w:p w:rsidR="002876E2" w:rsidRDefault="005E4134">
      <w:pPr>
        <w:pStyle w:val="a1"/>
        <w:numPr>
          <w:ilvl w:val="0"/>
          <w:numId w:val="0"/>
        </w:numPr>
        <w:spacing w:before="312" w:after="312"/>
        <w:jc w:val="left"/>
        <w:rPr>
          <w:rFonts w:ascii="宋体" w:eastAsia="宋体" w:hAnsi="宋体" w:cs="宋体"/>
          <w:sz w:val="24"/>
          <w:szCs w:val="24"/>
        </w:rPr>
      </w:pPr>
      <w:r>
        <w:rPr>
          <w:rFonts w:ascii="宋体" w:eastAsia="宋体" w:hAnsi="宋体" w:cs="宋体" w:hint="eastAsia"/>
          <w:sz w:val="24"/>
          <w:szCs w:val="24"/>
        </w:rPr>
        <w:t>12  其他应予说明的事项</w:t>
      </w:r>
    </w:p>
    <w:p w:rsidR="002876E2" w:rsidRDefault="005E4134">
      <w:pPr>
        <w:spacing w:line="500" w:lineRule="exact"/>
        <w:ind w:firstLineChars="200" w:firstLine="480"/>
        <w:rPr>
          <w:rFonts w:ascii="宋体" w:hAnsi="宋体" w:cs="宋体"/>
          <w:sz w:val="24"/>
        </w:rPr>
      </w:pPr>
      <w:r>
        <w:rPr>
          <w:rFonts w:ascii="宋体" w:hAnsi="宋体" w:cs="宋体" w:hint="eastAsia"/>
          <w:sz w:val="24"/>
        </w:rPr>
        <w:t>无。</w:t>
      </w:r>
    </w:p>
    <w:p w:rsidR="002876E2" w:rsidRDefault="005E4134">
      <w:pPr>
        <w:spacing w:line="500" w:lineRule="exact"/>
        <w:jc w:val="right"/>
        <w:rPr>
          <w:rFonts w:ascii="宋体" w:hAnsi="宋体" w:cs="宋体"/>
          <w:sz w:val="24"/>
        </w:rPr>
      </w:pPr>
      <w:r>
        <w:rPr>
          <w:rFonts w:ascii="宋体" w:hAnsi="宋体" w:cs="宋体" w:hint="eastAsia"/>
          <w:sz w:val="24"/>
        </w:rPr>
        <w:t>《包装容器  钢质手提油罐》标准研制工作组</w:t>
      </w:r>
      <w:bookmarkStart w:id="0" w:name="_GoBack"/>
      <w:bookmarkEnd w:id="0"/>
    </w:p>
    <w:p w:rsidR="002876E2" w:rsidRDefault="005E4134">
      <w:pPr>
        <w:spacing w:line="500" w:lineRule="exact"/>
        <w:ind w:right="480"/>
        <w:jc w:val="right"/>
      </w:pPr>
      <w:r>
        <w:rPr>
          <w:rFonts w:ascii="宋体" w:hAnsi="宋体" w:cs="宋体" w:hint="eastAsia"/>
          <w:sz w:val="24"/>
        </w:rPr>
        <w:t>2019年6月20日</w:t>
      </w:r>
    </w:p>
    <w:sectPr w:rsidR="002876E2" w:rsidSect="002876E2">
      <w:headerReference w:type="default" r:id="rId8"/>
      <w:footerReference w:type="default" r:id="rId9"/>
      <w:pgSz w:w="11906" w:h="16838"/>
      <w:pgMar w:top="1440" w:right="1800" w:bottom="779" w:left="1800" w:header="227" w:footer="227" w:gutter="0"/>
      <w:cols w:space="720"/>
      <w:formProt w:val="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3347A" w:rsidRDefault="00F3347A" w:rsidP="002876E2">
      <w:r>
        <w:separator/>
      </w:r>
    </w:p>
  </w:endnote>
  <w:endnote w:type="continuationSeparator" w:id="0">
    <w:p w:rsidR="00F3347A" w:rsidRDefault="00F3347A" w:rsidP="002876E2">
      <w:r>
        <w:continuationSeparator/>
      </w:r>
    </w:p>
  </w:endnote>
</w:endnotes>
</file>

<file path=word/fontTable.xml><?xml version="1.0" encoding="utf-8"?>
<w:fonts xmlns:r="http://schemas.openxmlformats.org/officeDocument/2006/relationships" xmlns:w="http://schemas.openxmlformats.org/wordprocessingml/2006/main">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76E2" w:rsidRDefault="005E4134">
    <w:pPr>
      <w:pStyle w:val="a8"/>
      <w:tabs>
        <w:tab w:val="clear" w:pos="4153"/>
        <w:tab w:val="center" w:pos="4111"/>
      </w:tabs>
      <w:jc w:val="right"/>
      <w:rPr>
        <w:sz w:val="24"/>
      </w:rPr>
    </w:pPr>
    <w:r>
      <w:rPr>
        <w:rFonts w:hint="eastAsia"/>
        <w:sz w:val="24"/>
      </w:rPr>
      <w:t xml:space="preserve">               </w:t>
    </w:r>
    <w:r>
      <w:rPr>
        <w:rFonts w:hint="eastAsia"/>
        <w:position w:val="80"/>
        <w:sz w:val="24"/>
      </w:rPr>
      <w:t xml:space="preserve"> </w:t>
    </w:r>
    <w:r w:rsidR="00005DC9">
      <w:rPr>
        <w:position w:val="40"/>
        <w:sz w:val="24"/>
      </w:rPr>
      <w:fldChar w:fldCharType="begin"/>
    </w:r>
    <w:r>
      <w:rPr>
        <w:position w:val="40"/>
        <w:sz w:val="24"/>
      </w:rPr>
      <w:instrText xml:space="preserve"> PAGE   \* MERGEFORMAT </w:instrText>
    </w:r>
    <w:r w:rsidR="00005DC9">
      <w:rPr>
        <w:position w:val="40"/>
        <w:sz w:val="24"/>
      </w:rPr>
      <w:fldChar w:fldCharType="separate"/>
    </w:r>
    <w:r w:rsidR="00246D06" w:rsidRPr="00246D06">
      <w:rPr>
        <w:noProof/>
      </w:rPr>
      <w:t>3</w:t>
    </w:r>
    <w:r w:rsidR="00005DC9">
      <w:rPr>
        <w:position w:val="40"/>
        <w:sz w:val="24"/>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3347A" w:rsidRDefault="00F3347A" w:rsidP="002876E2">
      <w:r>
        <w:separator/>
      </w:r>
    </w:p>
  </w:footnote>
  <w:footnote w:type="continuationSeparator" w:id="0">
    <w:p w:rsidR="00F3347A" w:rsidRDefault="00F3347A" w:rsidP="002876E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76E2" w:rsidRDefault="005E4134">
    <w:pPr>
      <w:pStyle w:val="a9"/>
      <w:pBdr>
        <w:bottom w:val="none" w:sz="0" w:space="0" w:color="auto"/>
      </w:pBdr>
      <w:jc w:val="right"/>
    </w:pPr>
    <w:r>
      <w:rPr>
        <w:rFonts w:hint="eastAsia"/>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5F625D7"/>
    <w:multiLevelType w:val="singleLevel"/>
    <w:tmpl w:val="F5F625D7"/>
    <w:lvl w:ilvl="0">
      <w:start w:val="4"/>
      <w:numFmt w:val="decimal"/>
      <w:suff w:val="nothing"/>
      <w:lvlText w:val="%1）"/>
      <w:lvlJc w:val="left"/>
    </w:lvl>
  </w:abstractNum>
  <w:abstractNum w:abstractNumId="1">
    <w:nsid w:val="079102AD"/>
    <w:multiLevelType w:val="multilevel"/>
    <w:tmpl w:val="079102AD"/>
    <w:lvl w:ilvl="0">
      <w:start w:val="1"/>
      <w:numFmt w:val="decimal"/>
      <w:pStyle w:val="a"/>
      <w:suff w:val="nothing"/>
      <w:lvlText w:val="注%1："/>
      <w:lvlJc w:val="left"/>
      <w:pPr>
        <w:ind w:left="811" w:hanging="448"/>
      </w:pPr>
      <w:rPr>
        <w:rFonts w:ascii="黑体" w:eastAsia="黑体" w:hint="eastAsia"/>
        <w:b w:val="0"/>
        <w:i w:val="0"/>
        <w:sz w:val="18"/>
        <w:lang w:val="en-US"/>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2">
    <w:nsid w:val="17DB6D44"/>
    <w:multiLevelType w:val="multilevel"/>
    <w:tmpl w:val="17DB6D4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pStyle w:val="a0"/>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1FC91163"/>
    <w:multiLevelType w:val="multilevel"/>
    <w:tmpl w:val="1FC91163"/>
    <w:lvl w:ilvl="0">
      <w:start w:val="1"/>
      <w:numFmt w:val="decimal"/>
      <w:pStyle w:val="a1"/>
      <w:suff w:val="nothing"/>
      <w:lvlText w:val="%1　"/>
      <w:lvlJc w:val="left"/>
      <w:pPr>
        <w:ind w:left="0" w:firstLine="0"/>
      </w:pPr>
      <w:rPr>
        <w:rFonts w:ascii="黑体" w:eastAsia="黑体" w:hAnsi="Times New Roman" w:hint="eastAsia"/>
        <w:b w:val="0"/>
        <w:i w:val="0"/>
        <w:sz w:val="21"/>
        <w:szCs w:val="21"/>
      </w:rPr>
    </w:lvl>
    <w:lvl w:ilvl="1">
      <w:start w:val="1"/>
      <w:numFmt w:val="decimal"/>
      <w:suff w:val="nothing"/>
      <w:lvlText w:val="%1.%2　"/>
      <w:lvlJc w:val="left"/>
      <w:pPr>
        <w:ind w:left="0" w:firstLine="0"/>
      </w:pPr>
      <w:rPr>
        <w:rFonts w:ascii="黑体" w:eastAsia="黑体" w:hAnsi="Times New Roman" w:cs="Times New Roman" w:hint="eastAsia"/>
        <w:b w:val="0"/>
        <w:bCs w:val="0"/>
        <w:i w:val="0"/>
        <w:iCs w:val="0"/>
        <w:caps w:val="0"/>
        <w:strike w:val="0"/>
        <w:dstrike w:val="0"/>
        <w:vanish w:val="0"/>
        <w:spacing w:val="0"/>
        <w:kern w:val="0"/>
        <w:position w:val="0"/>
        <w:sz w:val="21"/>
        <w:szCs w:val="21"/>
        <w:u w:val="none"/>
        <w:vertAlign w:val="baseline"/>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4">
    <w:nsid w:val="230D5FCC"/>
    <w:multiLevelType w:val="multilevel"/>
    <w:tmpl w:val="230D5FC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nsid w:val="23A94964"/>
    <w:multiLevelType w:val="multilevel"/>
    <w:tmpl w:val="23A94964"/>
    <w:lvl w:ilvl="0">
      <w:start w:val="1"/>
      <w:numFmt w:val="decimal"/>
      <w:lvlText w:val="%1）"/>
      <w:lvlJc w:val="left"/>
      <w:pPr>
        <w:ind w:left="840" w:hanging="36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6">
    <w:nsid w:val="646260FA"/>
    <w:multiLevelType w:val="multilevel"/>
    <w:tmpl w:val="646260FA"/>
    <w:lvl w:ilvl="0">
      <w:start w:val="1"/>
      <w:numFmt w:val="decimal"/>
      <w:pStyle w:val="a2"/>
      <w:suff w:val="nothing"/>
      <w:lvlText w:val="表%1　"/>
      <w:lvlJc w:val="left"/>
      <w:pPr>
        <w:ind w:left="1277" w:firstLine="0"/>
      </w:pPr>
      <w:rPr>
        <w:rFonts w:ascii="黑体" w:eastAsia="黑体" w:hAnsi="Times New Roman" w:hint="eastAsia"/>
        <w:b w:val="0"/>
        <w:i w:val="0"/>
        <w:sz w:val="21"/>
      </w:rPr>
    </w:lvl>
    <w:lvl w:ilvl="1">
      <w:start w:val="1"/>
      <w:numFmt w:val="decimal"/>
      <w:lvlText w:val="%1.%2"/>
      <w:lvlJc w:val="left"/>
      <w:pPr>
        <w:tabs>
          <w:tab w:val="left" w:pos="992"/>
        </w:tabs>
        <w:ind w:left="992" w:hanging="567"/>
      </w:pPr>
      <w:rPr>
        <w:rFonts w:hint="eastAsia"/>
      </w:rPr>
    </w:lvl>
    <w:lvl w:ilvl="2">
      <w:start w:val="1"/>
      <w:numFmt w:val="decimal"/>
      <w:lvlText w:val="%1.%2.%3"/>
      <w:lvlJc w:val="left"/>
      <w:pPr>
        <w:tabs>
          <w:tab w:val="left" w:pos="1418"/>
        </w:tabs>
        <w:ind w:left="1418" w:hanging="567"/>
      </w:pPr>
      <w:rPr>
        <w:rFonts w:hint="eastAsia"/>
      </w:rPr>
    </w:lvl>
    <w:lvl w:ilvl="3">
      <w:start w:val="1"/>
      <w:numFmt w:val="decimal"/>
      <w:lvlText w:val="%1.%2.%3.%4"/>
      <w:lvlJc w:val="left"/>
      <w:pPr>
        <w:tabs>
          <w:tab w:val="left" w:pos="1984"/>
        </w:tabs>
        <w:ind w:left="1984" w:hanging="708"/>
      </w:pPr>
      <w:rPr>
        <w:rFonts w:hint="eastAsia"/>
      </w:rPr>
    </w:lvl>
    <w:lvl w:ilvl="4">
      <w:start w:val="1"/>
      <w:numFmt w:val="decimal"/>
      <w:lvlText w:val="%1.%2.%3.%4.%5"/>
      <w:lvlJc w:val="left"/>
      <w:pPr>
        <w:tabs>
          <w:tab w:val="left" w:pos="2551"/>
        </w:tabs>
        <w:ind w:left="2551" w:hanging="850"/>
      </w:pPr>
      <w:rPr>
        <w:rFonts w:hint="eastAsia"/>
      </w:rPr>
    </w:lvl>
    <w:lvl w:ilvl="5">
      <w:start w:val="1"/>
      <w:numFmt w:val="decimal"/>
      <w:lvlText w:val="%1.%2.%3.%4.%5.%6"/>
      <w:lvlJc w:val="left"/>
      <w:pPr>
        <w:tabs>
          <w:tab w:val="left" w:pos="3260"/>
        </w:tabs>
        <w:ind w:left="3260" w:hanging="1134"/>
      </w:pPr>
      <w:rPr>
        <w:rFonts w:hint="eastAsia"/>
      </w:rPr>
    </w:lvl>
    <w:lvl w:ilvl="6">
      <w:start w:val="1"/>
      <w:numFmt w:val="decimal"/>
      <w:lvlText w:val="%1.%2.%3.%4.%5.%6.%7"/>
      <w:lvlJc w:val="left"/>
      <w:pPr>
        <w:tabs>
          <w:tab w:val="left" w:pos="3827"/>
        </w:tabs>
        <w:ind w:left="3827" w:hanging="1276"/>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num w:numId="1">
    <w:abstractNumId w:val="2"/>
  </w:num>
  <w:num w:numId="2">
    <w:abstractNumId w:val="1"/>
  </w:num>
  <w:num w:numId="3">
    <w:abstractNumId w:val="3"/>
  </w:num>
  <w:num w:numId="4">
    <w:abstractNumId w:val="6"/>
  </w:num>
  <w:num w:numId="5">
    <w:abstractNumId w:val="4"/>
  </w:num>
  <w:num w:numId="6">
    <w:abstractNumId w:val="0"/>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B2551F"/>
    <w:rsid w:val="00000043"/>
    <w:rsid w:val="000021F9"/>
    <w:rsid w:val="00005DC9"/>
    <w:rsid w:val="0001042D"/>
    <w:rsid w:val="00024ECD"/>
    <w:rsid w:val="00027775"/>
    <w:rsid w:val="00027BCA"/>
    <w:rsid w:val="00042ACC"/>
    <w:rsid w:val="00046D63"/>
    <w:rsid w:val="00050B91"/>
    <w:rsid w:val="00060FF9"/>
    <w:rsid w:val="000654B6"/>
    <w:rsid w:val="00070467"/>
    <w:rsid w:val="00075FEE"/>
    <w:rsid w:val="000817C0"/>
    <w:rsid w:val="00082B2A"/>
    <w:rsid w:val="00083CCD"/>
    <w:rsid w:val="00095C29"/>
    <w:rsid w:val="000A1702"/>
    <w:rsid w:val="000A3667"/>
    <w:rsid w:val="000A536A"/>
    <w:rsid w:val="000B015B"/>
    <w:rsid w:val="000B3EFC"/>
    <w:rsid w:val="000B6973"/>
    <w:rsid w:val="000C47FA"/>
    <w:rsid w:val="000C5001"/>
    <w:rsid w:val="000C74CD"/>
    <w:rsid w:val="000C7EBD"/>
    <w:rsid w:val="000D0E82"/>
    <w:rsid w:val="000D6DF3"/>
    <w:rsid w:val="000E179E"/>
    <w:rsid w:val="000E219F"/>
    <w:rsid w:val="000E5A65"/>
    <w:rsid w:val="000F0C5D"/>
    <w:rsid w:val="00111E8C"/>
    <w:rsid w:val="00114970"/>
    <w:rsid w:val="00134C00"/>
    <w:rsid w:val="001360EE"/>
    <w:rsid w:val="001368A4"/>
    <w:rsid w:val="001442D3"/>
    <w:rsid w:val="001471B9"/>
    <w:rsid w:val="00155BD1"/>
    <w:rsid w:val="00156B67"/>
    <w:rsid w:val="00161907"/>
    <w:rsid w:val="001663C3"/>
    <w:rsid w:val="00170F29"/>
    <w:rsid w:val="0017545F"/>
    <w:rsid w:val="0017627F"/>
    <w:rsid w:val="00177CDE"/>
    <w:rsid w:val="00185C7D"/>
    <w:rsid w:val="00186EA0"/>
    <w:rsid w:val="00191192"/>
    <w:rsid w:val="00196DB6"/>
    <w:rsid w:val="001A073E"/>
    <w:rsid w:val="001A3D7F"/>
    <w:rsid w:val="001A663A"/>
    <w:rsid w:val="001C3C2C"/>
    <w:rsid w:val="001E1C91"/>
    <w:rsid w:val="001E1FDF"/>
    <w:rsid w:val="001E3D60"/>
    <w:rsid w:val="001F368E"/>
    <w:rsid w:val="001F474E"/>
    <w:rsid w:val="002044DE"/>
    <w:rsid w:val="00217A77"/>
    <w:rsid w:val="00221577"/>
    <w:rsid w:val="00224105"/>
    <w:rsid w:val="0023639E"/>
    <w:rsid w:val="0023750E"/>
    <w:rsid w:val="00237AFB"/>
    <w:rsid w:val="00246D06"/>
    <w:rsid w:val="00270A57"/>
    <w:rsid w:val="00271767"/>
    <w:rsid w:val="00271877"/>
    <w:rsid w:val="00272389"/>
    <w:rsid w:val="00281F24"/>
    <w:rsid w:val="002876E2"/>
    <w:rsid w:val="00290164"/>
    <w:rsid w:val="00292501"/>
    <w:rsid w:val="00293435"/>
    <w:rsid w:val="002940AB"/>
    <w:rsid w:val="0029607F"/>
    <w:rsid w:val="002968AD"/>
    <w:rsid w:val="00296CAF"/>
    <w:rsid w:val="002A1A84"/>
    <w:rsid w:val="002A28D9"/>
    <w:rsid w:val="002A382C"/>
    <w:rsid w:val="002A4A12"/>
    <w:rsid w:val="002B6C78"/>
    <w:rsid w:val="002D27F3"/>
    <w:rsid w:val="002D5F46"/>
    <w:rsid w:val="002E6126"/>
    <w:rsid w:val="002E69C4"/>
    <w:rsid w:val="002E6A6E"/>
    <w:rsid w:val="0030028D"/>
    <w:rsid w:val="003146DE"/>
    <w:rsid w:val="00314C9E"/>
    <w:rsid w:val="00317AD6"/>
    <w:rsid w:val="00324586"/>
    <w:rsid w:val="00330A7A"/>
    <w:rsid w:val="00332CFE"/>
    <w:rsid w:val="00334563"/>
    <w:rsid w:val="0034252C"/>
    <w:rsid w:val="003431C4"/>
    <w:rsid w:val="00345A82"/>
    <w:rsid w:val="00345C3B"/>
    <w:rsid w:val="003506C0"/>
    <w:rsid w:val="00352410"/>
    <w:rsid w:val="00355DDF"/>
    <w:rsid w:val="00356F01"/>
    <w:rsid w:val="00362163"/>
    <w:rsid w:val="00362367"/>
    <w:rsid w:val="00364E16"/>
    <w:rsid w:val="00366E96"/>
    <w:rsid w:val="003679C8"/>
    <w:rsid w:val="003713B4"/>
    <w:rsid w:val="00385F61"/>
    <w:rsid w:val="00387302"/>
    <w:rsid w:val="00387DF3"/>
    <w:rsid w:val="00390E91"/>
    <w:rsid w:val="00393D5D"/>
    <w:rsid w:val="003965C9"/>
    <w:rsid w:val="003A1670"/>
    <w:rsid w:val="003A347D"/>
    <w:rsid w:val="003C250F"/>
    <w:rsid w:val="003F1E5B"/>
    <w:rsid w:val="003F56CE"/>
    <w:rsid w:val="0040717C"/>
    <w:rsid w:val="00412529"/>
    <w:rsid w:val="00416B59"/>
    <w:rsid w:val="0042295B"/>
    <w:rsid w:val="00424275"/>
    <w:rsid w:val="00437BF4"/>
    <w:rsid w:val="0044165B"/>
    <w:rsid w:val="004416C7"/>
    <w:rsid w:val="004431F2"/>
    <w:rsid w:val="00443C87"/>
    <w:rsid w:val="004471FA"/>
    <w:rsid w:val="004504C5"/>
    <w:rsid w:val="00454709"/>
    <w:rsid w:val="00465749"/>
    <w:rsid w:val="00470E18"/>
    <w:rsid w:val="00471225"/>
    <w:rsid w:val="00471B46"/>
    <w:rsid w:val="004739BB"/>
    <w:rsid w:val="00481FEB"/>
    <w:rsid w:val="00492B89"/>
    <w:rsid w:val="004960EC"/>
    <w:rsid w:val="004A6AC6"/>
    <w:rsid w:val="004B2F7E"/>
    <w:rsid w:val="004B4792"/>
    <w:rsid w:val="004C24A5"/>
    <w:rsid w:val="004C59B4"/>
    <w:rsid w:val="004C6F36"/>
    <w:rsid w:val="004D0562"/>
    <w:rsid w:val="004D3F85"/>
    <w:rsid w:val="004D4630"/>
    <w:rsid w:val="004D5E4E"/>
    <w:rsid w:val="004E2064"/>
    <w:rsid w:val="004F2A4B"/>
    <w:rsid w:val="005002DB"/>
    <w:rsid w:val="00502DFA"/>
    <w:rsid w:val="00502E89"/>
    <w:rsid w:val="005042A5"/>
    <w:rsid w:val="00507751"/>
    <w:rsid w:val="0052035E"/>
    <w:rsid w:val="005358A1"/>
    <w:rsid w:val="00536D95"/>
    <w:rsid w:val="00542072"/>
    <w:rsid w:val="00553A46"/>
    <w:rsid w:val="005557FB"/>
    <w:rsid w:val="00556611"/>
    <w:rsid w:val="00557BD9"/>
    <w:rsid w:val="00560E42"/>
    <w:rsid w:val="005655FB"/>
    <w:rsid w:val="0058113F"/>
    <w:rsid w:val="00583362"/>
    <w:rsid w:val="00591F12"/>
    <w:rsid w:val="005C1FA7"/>
    <w:rsid w:val="005E4134"/>
    <w:rsid w:val="005E494F"/>
    <w:rsid w:val="005E4E82"/>
    <w:rsid w:val="005F024E"/>
    <w:rsid w:val="005F6807"/>
    <w:rsid w:val="006006F3"/>
    <w:rsid w:val="00606094"/>
    <w:rsid w:val="00610834"/>
    <w:rsid w:val="00611375"/>
    <w:rsid w:val="006211A6"/>
    <w:rsid w:val="00626364"/>
    <w:rsid w:val="00640B16"/>
    <w:rsid w:val="00642D26"/>
    <w:rsid w:val="00646A6D"/>
    <w:rsid w:val="00653102"/>
    <w:rsid w:val="0065562A"/>
    <w:rsid w:val="006563A8"/>
    <w:rsid w:val="006578B2"/>
    <w:rsid w:val="00663D76"/>
    <w:rsid w:val="00672A46"/>
    <w:rsid w:val="0068121E"/>
    <w:rsid w:val="00684B89"/>
    <w:rsid w:val="006871FF"/>
    <w:rsid w:val="0069735A"/>
    <w:rsid w:val="00697556"/>
    <w:rsid w:val="0069795B"/>
    <w:rsid w:val="006A15C5"/>
    <w:rsid w:val="006A3518"/>
    <w:rsid w:val="006B2938"/>
    <w:rsid w:val="006B53E3"/>
    <w:rsid w:val="006B74BB"/>
    <w:rsid w:val="006C2F87"/>
    <w:rsid w:val="006C4C28"/>
    <w:rsid w:val="006C75EC"/>
    <w:rsid w:val="006D2386"/>
    <w:rsid w:val="006E62A2"/>
    <w:rsid w:val="006F32BA"/>
    <w:rsid w:val="006F5CF0"/>
    <w:rsid w:val="006F68A8"/>
    <w:rsid w:val="006F6E53"/>
    <w:rsid w:val="00707B3A"/>
    <w:rsid w:val="0072145F"/>
    <w:rsid w:val="00725BE3"/>
    <w:rsid w:val="00727B61"/>
    <w:rsid w:val="007371AD"/>
    <w:rsid w:val="00741E43"/>
    <w:rsid w:val="00743921"/>
    <w:rsid w:val="00746CDE"/>
    <w:rsid w:val="007537F9"/>
    <w:rsid w:val="007552B1"/>
    <w:rsid w:val="00755C62"/>
    <w:rsid w:val="007636EA"/>
    <w:rsid w:val="00771A9E"/>
    <w:rsid w:val="00772E8A"/>
    <w:rsid w:val="00773251"/>
    <w:rsid w:val="00776FCF"/>
    <w:rsid w:val="0078124D"/>
    <w:rsid w:val="00781EF1"/>
    <w:rsid w:val="00785773"/>
    <w:rsid w:val="00786002"/>
    <w:rsid w:val="007868CA"/>
    <w:rsid w:val="00791974"/>
    <w:rsid w:val="007A0CB8"/>
    <w:rsid w:val="007B014F"/>
    <w:rsid w:val="007B0C76"/>
    <w:rsid w:val="007B4E3F"/>
    <w:rsid w:val="007C0735"/>
    <w:rsid w:val="007C0897"/>
    <w:rsid w:val="007C1E02"/>
    <w:rsid w:val="007C54C7"/>
    <w:rsid w:val="007D57D4"/>
    <w:rsid w:val="007D7A2C"/>
    <w:rsid w:val="007E1FB1"/>
    <w:rsid w:val="007F780E"/>
    <w:rsid w:val="0080240D"/>
    <w:rsid w:val="0080265E"/>
    <w:rsid w:val="0080627E"/>
    <w:rsid w:val="00811976"/>
    <w:rsid w:val="008121D9"/>
    <w:rsid w:val="008127A7"/>
    <w:rsid w:val="00814F2E"/>
    <w:rsid w:val="00821604"/>
    <w:rsid w:val="00827031"/>
    <w:rsid w:val="00831038"/>
    <w:rsid w:val="008479C7"/>
    <w:rsid w:val="00873AA1"/>
    <w:rsid w:val="00874309"/>
    <w:rsid w:val="008848AF"/>
    <w:rsid w:val="00892FC8"/>
    <w:rsid w:val="00896B8E"/>
    <w:rsid w:val="00896FF4"/>
    <w:rsid w:val="008A0DA1"/>
    <w:rsid w:val="008A180C"/>
    <w:rsid w:val="008A7DC7"/>
    <w:rsid w:val="008C0948"/>
    <w:rsid w:val="008C16FE"/>
    <w:rsid w:val="008C7B42"/>
    <w:rsid w:val="008F2AEB"/>
    <w:rsid w:val="00901F42"/>
    <w:rsid w:val="009039C0"/>
    <w:rsid w:val="009227F8"/>
    <w:rsid w:val="009353B7"/>
    <w:rsid w:val="00945DE1"/>
    <w:rsid w:val="009528A9"/>
    <w:rsid w:val="00955DC4"/>
    <w:rsid w:val="0096406C"/>
    <w:rsid w:val="00964842"/>
    <w:rsid w:val="009657B3"/>
    <w:rsid w:val="00970803"/>
    <w:rsid w:val="009808CD"/>
    <w:rsid w:val="00981221"/>
    <w:rsid w:val="00981299"/>
    <w:rsid w:val="00987B7F"/>
    <w:rsid w:val="0099148E"/>
    <w:rsid w:val="00992C57"/>
    <w:rsid w:val="009943B6"/>
    <w:rsid w:val="0099612D"/>
    <w:rsid w:val="009A0410"/>
    <w:rsid w:val="009A07DC"/>
    <w:rsid w:val="009D05C0"/>
    <w:rsid w:val="009D21BF"/>
    <w:rsid w:val="009D33F3"/>
    <w:rsid w:val="009E7671"/>
    <w:rsid w:val="009F5BC6"/>
    <w:rsid w:val="00A0015E"/>
    <w:rsid w:val="00A04BBC"/>
    <w:rsid w:val="00A055E7"/>
    <w:rsid w:val="00A14883"/>
    <w:rsid w:val="00A23464"/>
    <w:rsid w:val="00A32D69"/>
    <w:rsid w:val="00A35CAD"/>
    <w:rsid w:val="00A43BD4"/>
    <w:rsid w:val="00A460B9"/>
    <w:rsid w:val="00A558A9"/>
    <w:rsid w:val="00A57952"/>
    <w:rsid w:val="00A61FF8"/>
    <w:rsid w:val="00A809E8"/>
    <w:rsid w:val="00A87121"/>
    <w:rsid w:val="00A94A84"/>
    <w:rsid w:val="00AA6C3E"/>
    <w:rsid w:val="00AC24D2"/>
    <w:rsid w:val="00AC5D3D"/>
    <w:rsid w:val="00AC749F"/>
    <w:rsid w:val="00AD08AD"/>
    <w:rsid w:val="00AE38B9"/>
    <w:rsid w:val="00AE6B86"/>
    <w:rsid w:val="00AF1A53"/>
    <w:rsid w:val="00B03791"/>
    <w:rsid w:val="00B1537A"/>
    <w:rsid w:val="00B2551F"/>
    <w:rsid w:val="00B25ACF"/>
    <w:rsid w:val="00B27BAE"/>
    <w:rsid w:val="00B40D28"/>
    <w:rsid w:val="00B434B3"/>
    <w:rsid w:val="00B450C6"/>
    <w:rsid w:val="00B525EF"/>
    <w:rsid w:val="00B56321"/>
    <w:rsid w:val="00B63172"/>
    <w:rsid w:val="00B643D0"/>
    <w:rsid w:val="00B67ABF"/>
    <w:rsid w:val="00B7310E"/>
    <w:rsid w:val="00B754E9"/>
    <w:rsid w:val="00B77400"/>
    <w:rsid w:val="00B807FB"/>
    <w:rsid w:val="00B81A0E"/>
    <w:rsid w:val="00B824BF"/>
    <w:rsid w:val="00B8354E"/>
    <w:rsid w:val="00B851AF"/>
    <w:rsid w:val="00B873D4"/>
    <w:rsid w:val="00B87C10"/>
    <w:rsid w:val="00BA1534"/>
    <w:rsid w:val="00BA31BD"/>
    <w:rsid w:val="00BA5706"/>
    <w:rsid w:val="00BA71C7"/>
    <w:rsid w:val="00BB0106"/>
    <w:rsid w:val="00BB20D8"/>
    <w:rsid w:val="00BB22F3"/>
    <w:rsid w:val="00BB38FD"/>
    <w:rsid w:val="00BB4734"/>
    <w:rsid w:val="00BD6A06"/>
    <w:rsid w:val="00BD7A9A"/>
    <w:rsid w:val="00BE0FAA"/>
    <w:rsid w:val="00BE22E7"/>
    <w:rsid w:val="00BE2CFD"/>
    <w:rsid w:val="00BE606A"/>
    <w:rsid w:val="00BE774B"/>
    <w:rsid w:val="00BF4571"/>
    <w:rsid w:val="00BF52E9"/>
    <w:rsid w:val="00C00390"/>
    <w:rsid w:val="00C0182F"/>
    <w:rsid w:val="00C02310"/>
    <w:rsid w:val="00C0489D"/>
    <w:rsid w:val="00C066A4"/>
    <w:rsid w:val="00C06FDB"/>
    <w:rsid w:val="00C1633B"/>
    <w:rsid w:val="00C35B9E"/>
    <w:rsid w:val="00C416FA"/>
    <w:rsid w:val="00C46DC4"/>
    <w:rsid w:val="00C47294"/>
    <w:rsid w:val="00C63898"/>
    <w:rsid w:val="00C6707B"/>
    <w:rsid w:val="00C71EDD"/>
    <w:rsid w:val="00C753A5"/>
    <w:rsid w:val="00C82A23"/>
    <w:rsid w:val="00C94C5D"/>
    <w:rsid w:val="00C95197"/>
    <w:rsid w:val="00C96441"/>
    <w:rsid w:val="00CA2795"/>
    <w:rsid w:val="00CA3CA6"/>
    <w:rsid w:val="00CA4D13"/>
    <w:rsid w:val="00CA72C5"/>
    <w:rsid w:val="00CC009F"/>
    <w:rsid w:val="00CC3DCB"/>
    <w:rsid w:val="00CD123B"/>
    <w:rsid w:val="00CE611F"/>
    <w:rsid w:val="00CE6C03"/>
    <w:rsid w:val="00CE7998"/>
    <w:rsid w:val="00D024DA"/>
    <w:rsid w:val="00D0311B"/>
    <w:rsid w:val="00D06373"/>
    <w:rsid w:val="00D144CB"/>
    <w:rsid w:val="00D17194"/>
    <w:rsid w:val="00D2085B"/>
    <w:rsid w:val="00D274A9"/>
    <w:rsid w:val="00D30A03"/>
    <w:rsid w:val="00D3262D"/>
    <w:rsid w:val="00D350BD"/>
    <w:rsid w:val="00D37313"/>
    <w:rsid w:val="00D546F8"/>
    <w:rsid w:val="00D602F8"/>
    <w:rsid w:val="00D6441E"/>
    <w:rsid w:val="00D70922"/>
    <w:rsid w:val="00D73361"/>
    <w:rsid w:val="00D9147F"/>
    <w:rsid w:val="00DA189B"/>
    <w:rsid w:val="00DA4246"/>
    <w:rsid w:val="00DA6584"/>
    <w:rsid w:val="00DA7F95"/>
    <w:rsid w:val="00DB47FA"/>
    <w:rsid w:val="00DB54FA"/>
    <w:rsid w:val="00DB7E41"/>
    <w:rsid w:val="00DC11E6"/>
    <w:rsid w:val="00DC4B6C"/>
    <w:rsid w:val="00DD6235"/>
    <w:rsid w:val="00DE0738"/>
    <w:rsid w:val="00DE1D43"/>
    <w:rsid w:val="00DF2B7D"/>
    <w:rsid w:val="00DF3363"/>
    <w:rsid w:val="00E07CA6"/>
    <w:rsid w:val="00E113A6"/>
    <w:rsid w:val="00E22B26"/>
    <w:rsid w:val="00E23DC9"/>
    <w:rsid w:val="00E30CB9"/>
    <w:rsid w:val="00E36E1C"/>
    <w:rsid w:val="00E41FA8"/>
    <w:rsid w:val="00E450CD"/>
    <w:rsid w:val="00E53F6F"/>
    <w:rsid w:val="00E57D04"/>
    <w:rsid w:val="00E677BD"/>
    <w:rsid w:val="00E70538"/>
    <w:rsid w:val="00E73891"/>
    <w:rsid w:val="00E778CC"/>
    <w:rsid w:val="00E8099D"/>
    <w:rsid w:val="00E827CF"/>
    <w:rsid w:val="00E82EF4"/>
    <w:rsid w:val="00E95355"/>
    <w:rsid w:val="00E95674"/>
    <w:rsid w:val="00EA0C94"/>
    <w:rsid w:val="00EB2C1F"/>
    <w:rsid w:val="00EB3396"/>
    <w:rsid w:val="00EB33FD"/>
    <w:rsid w:val="00EB3944"/>
    <w:rsid w:val="00EB6201"/>
    <w:rsid w:val="00EB6504"/>
    <w:rsid w:val="00ED1B56"/>
    <w:rsid w:val="00ED1CA7"/>
    <w:rsid w:val="00EE424A"/>
    <w:rsid w:val="00EF3C4A"/>
    <w:rsid w:val="00EF54E9"/>
    <w:rsid w:val="00F0072D"/>
    <w:rsid w:val="00F0258B"/>
    <w:rsid w:val="00F038D4"/>
    <w:rsid w:val="00F03C85"/>
    <w:rsid w:val="00F05069"/>
    <w:rsid w:val="00F145EE"/>
    <w:rsid w:val="00F15A03"/>
    <w:rsid w:val="00F1736D"/>
    <w:rsid w:val="00F20160"/>
    <w:rsid w:val="00F2030E"/>
    <w:rsid w:val="00F20351"/>
    <w:rsid w:val="00F23E92"/>
    <w:rsid w:val="00F240C7"/>
    <w:rsid w:val="00F25304"/>
    <w:rsid w:val="00F26B0F"/>
    <w:rsid w:val="00F3347A"/>
    <w:rsid w:val="00F34E6F"/>
    <w:rsid w:val="00F42AA7"/>
    <w:rsid w:val="00F52F56"/>
    <w:rsid w:val="00F55E4B"/>
    <w:rsid w:val="00F7141E"/>
    <w:rsid w:val="00F716FB"/>
    <w:rsid w:val="00F7765C"/>
    <w:rsid w:val="00F86E3D"/>
    <w:rsid w:val="00F90FD8"/>
    <w:rsid w:val="00FA7E11"/>
    <w:rsid w:val="00FB0365"/>
    <w:rsid w:val="00FC00C6"/>
    <w:rsid w:val="00FC66D0"/>
    <w:rsid w:val="00FC6939"/>
    <w:rsid w:val="00FD2CDD"/>
    <w:rsid w:val="00FE5061"/>
    <w:rsid w:val="03D77F10"/>
    <w:rsid w:val="083923C4"/>
    <w:rsid w:val="0D7B3CF0"/>
    <w:rsid w:val="172D00E8"/>
    <w:rsid w:val="185E5289"/>
    <w:rsid w:val="1AA762FB"/>
    <w:rsid w:val="1D6F5991"/>
    <w:rsid w:val="23BB53BA"/>
    <w:rsid w:val="250159ED"/>
    <w:rsid w:val="288E46BF"/>
    <w:rsid w:val="2E3A5B65"/>
    <w:rsid w:val="33A924EC"/>
    <w:rsid w:val="37110046"/>
    <w:rsid w:val="39DA6929"/>
    <w:rsid w:val="3B621075"/>
    <w:rsid w:val="3DBB6C9E"/>
    <w:rsid w:val="4411510C"/>
    <w:rsid w:val="44186466"/>
    <w:rsid w:val="52C5323A"/>
    <w:rsid w:val="57753689"/>
    <w:rsid w:val="59C76937"/>
    <w:rsid w:val="5E120D29"/>
    <w:rsid w:val="61071F98"/>
    <w:rsid w:val="64945B34"/>
    <w:rsid w:val="6D6713E5"/>
    <w:rsid w:val="70370FF0"/>
    <w:rsid w:val="71960E42"/>
    <w:rsid w:val="79380E56"/>
    <w:rsid w:val="797B74AA"/>
    <w:rsid w:val="7CDB5F24"/>
    <w:rsid w:val="7D9E787B"/>
    <w:rsid w:val="7E133780"/>
    <w:rsid w:val="7E823C8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semiHidden="0" w:uiPriority="0" w:unhideWhenUsed="0"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2876E2"/>
    <w:pPr>
      <w:widowControl w:val="0"/>
      <w:jc w:val="both"/>
    </w:pPr>
    <w:rPr>
      <w:kern w:val="2"/>
      <w:sz w:val="21"/>
      <w:szCs w:val="24"/>
    </w:rPr>
  </w:style>
  <w:style w:type="character" w:default="1" w:styleId="a4">
    <w:name w:val="Default Paragraph Font"/>
    <w:uiPriority w:val="1"/>
    <w:semiHidden/>
    <w:unhideWhenUsed/>
  </w:style>
  <w:style w:type="table" w:default="1" w:styleId="a5">
    <w:name w:val="Normal Table"/>
    <w:uiPriority w:val="99"/>
    <w:semiHidden/>
    <w:unhideWhenUsed/>
    <w:qFormat/>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Balloon Text"/>
    <w:basedOn w:val="a3"/>
    <w:link w:val="Char"/>
    <w:uiPriority w:val="99"/>
    <w:semiHidden/>
    <w:unhideWhenUsed/>
    <w:qFormat/>
    <w:rsid w:val="002876E2"/>
    <w:rPr>
      <w:sz w:val="18"/>
      <w:szCs w:val="18"/>
    </w:rPr>
  </w:style>
  <w:style w:type="paragraph" w:styleId="a8">
    <w:name w:val="footer"/>
    <w:basedOn w:val="a3"/>
    <w:link w:val="Char0"/>
    <w:uiPriority w:val="99"/>
    <w:qFormat/>
    <w:rsid w:val="002876E2"/>
    <w:pPr>
      <w:tabs>
        <w:tab w:val="center" w:pos="4153"/>
        <w:tab w:val="right" w:pos="8306"/>
      </w:tabs>
      <w:snapToGrid w:val="0"/>
      <w:jc w:val="left"/>
    </w:pPr>
    <w:rPr>
      <w:rFonts w:asciiTheme="minorHAnsi" w:eastAsiaTheme="minorEastAsia" w:hAnsiTheme="minorHAnsi" w:cstheme="minorBidi"/>
      <w:sz w:val="18"/>
      <w:szCs w:val="18"/>
    </w:rPr>
  </w:style>
  <w:style w:type="paragraph" w:styleId="a9">
    <w:name w:val="header"/>
    <w:basedOn w:val="a3"/>
    <w:link w:val="Char1"/>
    <w:uiPriority w:val="99"/>
    <w:qFormat/>
    <w:rsid w:val="002876E2"/>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HTML">
    <w:name w:val="HTML Preformatted"/>
    <w:basedOn w:val="a3"/>
    <w:link w:val="HTMLChar"/>
    <w:qFormat/>
    <w:rsid w:val="002876E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table" w:styleId="aa">
    <w:name w:val="Table Grid"/>
    <w:basedOn w:val="a5"/>
    <w:uiPriority w:val="59"/>
    <w:qFormat/>
    <w:rsid w:val="002876E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21">
    <w:name w:val="font21"/>
    <w:qFormat/>
    <w:rsid w:val="002876E2"/>
    <w:rPr>
      <w:rFonts w:ascii="宋体" w:eastAsia="宋体" w:hAnsi="宋体" w:cs="宋体" w:hint="eastAsia"/>
      <w:color w:val="000000"/>
      <w:sz w:val="18"/>
      <w:szCs w:val="18"/>
      <w:u w:val="none"/>
      <w:vertAlign w:val="superscript"/>
    </w:rPr>
  </w:style>
  <w:style w:type="character" w:customStyle="1" w:styleId="Char0">
    <w:name w:val="页脚 Char"/>
    <w:link w:val="a8"/>
    <w:uiPriority w:val="99"/>
    <w:qFormat/>
    <w:rsid w:val="002876E2"/>
    <w:rPr>
      <w:sz w:val="18"/>
      <w:szCs w:val="18"/>
    </w:rPr>
  </w:style>
  <w:style w:type="character" w:customStyle="1" w:styleId="Char2">
    <w:name w:val="段 Char"/>
    <w:link w:val="ab"/>
    <w:qFormat/>
    <w:rsid w:val="002876E2"/>
    <w:rPr>
      <w:rFonts w:ascii="宋体"/>
    </w:rPr>
  </w:style>
  <w:style w:type="paragraph" w:customStyle="1" w:styleId="ab">
    <w:name w:val="段"/>
    <w:link w:val="Char2"/>
    <w:qFormat/>
    <w:rsid w:val="002876E2"/>
    <w:pPr>
      <w:tabs>
        <w:tab w:val="center" w:pos="4201"/>
        <w:tab w:val="right" w:leader="dot" w:pos="9298"/>
      </w:tabs>
      <w:autoSpaceDE w:val="0"/>
      <w:autoSpaceDN w:val="0"/>
      <w:ind w:firstLineChars="200" w:firstLine="420"/>
      <w:jc w:val="both"/>
    </w:pPr>
    <w:rPr>
      <w:rFonts w:ascii="宋体" w:eastAsiaTheme="minorEastAsia" w:hAnsiTheme="minorHAnsi" w:cstheme="minorBidi"/>
      <w:kern w:val="2"/>
      <w:sz w:val="21"/>
      <w:szCs w:val="22"/>
    </w:rPr>
  </w:style>
  <w:style w:type="character" w:customStyle="1" w:styleId="font41">
    <w:name w:val="font41"/>
    <w:qFormat/>
    <w:rsid w:val="002876E2"/>
    <w:rPr>
      <w:rFonts w:ascii="宋体" w:eastAsia="宋体" w:hAnsi="宋体" w:cs="宋体" w:hint="eastAsia"/>
      <w:color w:val="000000"/>
      <w:sz w:val="18"/>
      <w:szCs w:val="18"/>
      <w:u w:val="none"/>
    </w:rPr>
  </w:style>
  <w:style w:type="character" w:customStyle="1" w:styleId="Char1">
    <w:name w:val="页眉 Char"/>
    <w:link w:val="a9"/>
    <w:uiPriority w:val="99"/>
    <w:qFormat/>
    <w:rsid w:val="002876E2"/>
    <w:rPr>
      <w:sz w:val="18"/>
      <w:szCs w:val="18"/>
    </w:rPr>
  </w:style>
  <w:style w:type="character" w:customStyle="1" w:styleId="Char10">
    <w:name w:val="页眉 Char1"/>
    <w:basedOn w:val="a4"/>
    <w:uiPriority w:val="99"/>
    <w:semiHidden/>
    <w:qFormat/>
    <w:rsid w:val="002876E2"/>
    <w:rPr>
      <w:rFonts w:ascii="Times New Roman" w:eastAsia="宋体" w:hAnsi="Times New Roman" w:cs="Times New Roman"/>
      <w:sz w:val="18"/>
      <w:szCs w:val="18"/>
    </w:rPr>
  </w:style>
  <w:style w:type="character" w:customStyle="1" w:styleId="Char11">
    <w:name w:val="页脚 Char1"/>
    <w:basedOn w:val="a4"/>
    <w:uiPriority w:val="99"/>
    <w:semiHidden/>
    <w:qFormat/>
    <w:rsid w:val="002876E2"/>
    <w:rPr>
      <w:rFonts w:ascii="Times New Roman" w:eastAsia="宋体" w:hAnsi="Times New Roman" w:cs="Times New Roman"/>
      <w:sz w:val="18"/>
      <w:szCs w:val="18"/>
    </w:rPr>
  </w:style>
  <w:style w:type="paragraph" w:customStyle="1" w:styleId="a0">
    <w:name w:val="二级无"/>
    <w:basedOn w:val="a3"/>
    <w:qFormat/>
    <w:rsid w:val="002876E2"/>
    <w:pPr>
      <w:widowControl/>
      <w:numPr>
        <w:ilvl w:val="2"/>
        <w:numId w:val="1"/>
      </w:numPr>
      <w:jc w:val="left"/>
      <w:outlineLvl w:val="3"/>
    </w:pPr>
    <w:rPr>
      <w:rFonts w:ascii="宋体"/>
      <w:kern w:val="0"/>
      <w:szCs w:val="21"/>
    </w:rPr>
  </w:style>
  <w:style w:type="paragraph" w:customStyle="1" w:styleId="a">
    <w:name w:val="注×："/>
    <w:qFormat/>
    <w:rsid w:val="002876E2"/>
    <w:pPr>
      <w:widowControl w:val="0"/>
      <w:numPr>
        <w:numId w:val="2"/>
      </w:numPr>
      <w:autoSpaceDE w:val="0"/>
      <w:autoSpaceDN w:val="0"/>
      <w:jc w:val="both"/>
    </w:pPr>
    <w:rPr>
      <w:rFonts w:ascii="宋体"/>
      <w:sz w:val="18"/>
      <w:szCs w:val="18"/>
    </w:rPr>
  </w:style>
  <w:style w:type="paragraph" w:customStyle="1" w:styleId="a1">
    <w:name w:val="章标题"/>
    <w:next w:val="a3"/>
    <w:qFormat/>
    <w:rsid w:val="002876E2"/>
    <w:pPr>
      <w:numPr>
        <w:numId w:val="3"/>
      </w:numPr>
      <w:spacing w:beforeLines="100" w:afterLines="100"/>
      <w:jc w:val="both"/>
      <w:outlineLvl w:val="1"/>
    </w:pPr>
    <w:rPr>
      <w:rFonts w:ascii="黑体" w:eastAsia="黑体"/>
      <w:sz w:val="21"/>
    </w:rPr>
  </w:style>
  <w:style w:type="paragraph" w:customStyle="1" w:styleId="a2">
    <w:name w:val="正文表标题"/>
    <w:next w:val="ab"/>
    <w:qFormat/>
    <w:rsid w:val="002876E2"/>
    <w:pPr>
      <w:numPr>
        <w:numId w:val="4"/>
      </w:numPr>
      <w:tabs>
        <w:tab w:val="left" w:pos="360"/>
      </w:tabs>
      <w:spacing w:beforeLines="50" w:afterLines="50"/>
      <w:ind w:left="0"/>
      <w:jc w:val="center"/>
    </w:pPr>
    <w:rPr>
      <w:rFonts w:ascii="黑体" w:eastAsia="黑体"/>
      <w:sz w:val="21"/>
    </w:rPr>
  </w:style>
  <w:style w:type="character" w:customStyle="1" w:styleId="Char">
    <w:name w:val="批注框文本 Char"/>
    <w:basedOn w:val="a4"/>
    <w:link w:val="a7"/>
    <w:uiPriority w:val="99"/>
    <w:semiHidden/>
    <w:qFormat/>
    <w:rsid w:val="002876E2"/>
    <w:rPr>
      <w:rFonts w:ascii="Times New Roman" w:eastAsia="宋体" w:hAnsi="Times New Roman" w:cs="Times New Roman"/>
      <w:sz w:val="18"/>
      <w:szCs w:val="18"/>
    </w:rPr>
  </w:style>
  <w:style w:type="paragraph" w:styleId="ac">
    <w:name w:val="List Paragraph"/>
    <w:basedOn w:val="a3"/>
    <w:uiPriority w:val="34"/>
    <w:qFormat/>
    <w:rsid w:val="002876E2"/>
    <w:pPr>
      <w:ind w:firstLineChars="200" w:firstLine="420"/>
    </w:pPr>
  </w:style>
  <w:style w:type="paragraph" w:customStyle="1" w:styleId="ad">
    <w:name w:val="标准正文"/>
    <w:basedOn w:val="a3"/>
    <w:qFormat/>
    <w:rsid w:val="002876E2"/>
    <w:pPr>
      <w:spacing w:line="300" w:lineRule="auto"/>
      <w:ind w:firstLine="425"/>
    </w:pPr>
    <w:rPr>
      <w:rFonts w:ascii="Tahoma" w:hAnsi="Tahoma"/>
    </w:rPr>
  </w:style>
  <w:style w:type="character" w:customStyle="1" w:styleId="HTMLChar">
    <w:name w:val="HTML 预设格式 Char"/>
    <w:basedOn w:val="a4"/>
    <w:link w:val="HTML"/>
    <w:qFormat/>
    <w:rsid w:val="002876E2"/>
    <w:rPr>
      <w:rFonts w:ascii="宋体" w:eastAsia="宋体" w:hAnsi="宋体" w:cs="宋体"/>
      <w:kern w:val="0"/>
      <w:sz w:val="24"/>
      <w:szCs w:val="24"/>
    </w:rPr>
  </w:style>
  <w:style w:type="paragraph" w:customStyle="1" w:styleId="ae">
    <w:name w:val="一级无"/>
    <w:basedOn w:val="af"/>
    <w:qFormat/>
    <w:rsid w:val="002876E2"/>
    <w:pPr>
      <w:spacing w:beforeLines="0" w:afterLines="0"/>
    </w:pPr>
    <w:rPr>
      <w:rFonts w:ascii="宋体" w:eastAsia="宋体"/>
    </w:rPr>
  </w:style>
  <w:style w:type="paragraph" w:customStyle="1" w:styleId="af">
    <w:name w:val="一级条标题"/>
    <w:next w:val="ab"/>
    <w:qFormat/>
    <w:rsid w:val="002876E2"/>
    <w:pPr>
      <w:spacing w:beforeLines="50" w:afterLines="50"/>
      <w:ind w:left="2410"/>
      <w:outlineLvl w:val="2"/>
    </w:pPr>
    <w:rPr>
      <w:rFonts w:ascii="黑体" w:eastAsia="黑体"/>
      <w:sz w:val="21"/>
      <w:szCs w:val="21"/>
    </w:rPr>
  </w:style>
  <w:style w:type="paragraph" w:customStyle="1" w:styleId="af0">
    <w:name w:val="二级条标题"/>
    <w:basedOn w:val="af"/>
    <w:next w:val="ab"/>
    <w:qFormat/>
    <w:rsid w:val="002876E2"/>
    <w:pPr>
      <w:spacing w:before="50" w:after="50"/>
      <w:outlineLvl w:val="3"/>
    </w:pPr>
  </w:style>
  <w:style w:type="paragraph" w:customStyle="1" w:styleId="af1">
    <w:name w:val="三级条标题"/>
    <w:basedOn w:val="af0"/>
    <w:next w:val="ab"/>
    <w:qFormat/>
    <w:rsid w:val="002876E2"/>
    <w:pPr>
      <w:ind w:left="1702"/>
      <w:outlineLvl w:val="4"/>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8</Pages>
  <Words>865</Words>
  <Characters>4934</Characters>
  <Application>Microsoft Office Word</Application>
  <DocSecurity>0</DocSecurity>
  <Lines>41</Lines>
  <Paragraphs>11</Paragraphs>
  <ScaleCrop>false</ScaleCrop>
  <Company>China</Company>
  <LinksUpToDate>false</LinksUpToDate>
  <CharactersWithSpaces>5788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hyh</dc:creator>
  <cp:lastModifiedBy>User</cp:lastModifiedBy>
  <cp:revision>17</cp:revision>
  <cp:lastPrinted>2019-06-04T23:50:00Z</cp:lastPrinted>
  <dcterms:created xsi:type="dcterms:W3CDTF">2019-06-12T03:10:00Z</dcterms:created>
  <dcterms:modified xsi:type="dcterms:W3CDTF">2019-07-08T02:06:00Z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